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3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-2957353</wp:posOffset>
                </wp:positionV>
                <wp:extent cx="6955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2888615"/>
                          <a:chExt cx="6955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620010">
                                <a:moveTo>
                                  <a:pt x="3477601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95854" y="1369342"/>
                            <a:ext cx="20415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1525" h="320675">
                                <a:moveTo>
                                  <a:pt x="2041080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041080" y="320370"/>
                                </a:lnTo>
                                <a:lnTo>
                                  <a:pt x="2041080" y="315201"/>
                                </a:lnTo>
                                <a:close/>
                              </a:path>
                              <a:path w="2041525" h="320675">
                                <a:moveTo>
                                  <a:pt x="2041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41080" y="5168"/>
                                </a:lnTo>
                                <a:lnTo>
                                  <a:pt x="2041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195050" y="763308"/>
                            <a:ext cx="205549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ERIC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V.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39"/>
                                </w:rPr>
                                <w:t>GRIJALVA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056941" y="1859626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95050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463463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460924" y="2226506"/>
                            <a:ext cx="15240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egrijalva@fennemorelaw.com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232.862503pt;width:547.7pt;height:227.45pt;mso-position-horizontal-relative:page;mso-position-vertical-relative:paragraph;z-index:15728640" id="docshapegroup1" coordorigin="641,-4657" coordsize="10954,4549">
                <v:shape style="position:absolute;left:641;top:-4658;width:2165;height:424" type="#_x0000_t75" id="docshape2" href="https://www.fennemorelaw.com/" stroked="false">
                  <v:imagedata r:id="rId5" o:title=""/>
                </v:shape>
                <v:shape style="position:absolute;left:641;top:-4235;width:5477;height:4126" type="#_x0000_t75" id="docshape3" stroked="false">
                  <v:imagedata r:id="rId7" o:title=""/>
                </v:shape>
                <v:rect style="position:absolute;left:6117;top:-4235;width:5477;height:4126" id="docshape4" filled="true" fillcolor="#262424" stroked="false">
                  <v:fill type="solid"/>
                </v:rect>
                <v:shape style="position:absolute;left:7249;top:-2501;width:3215;height:505" id="docshape5" coordorigin="7249,-2501" coordsize="3215,505" path="m10463,-2004l7249,-2004,7249,-1996,10463,-1996,10463,-2004xm10463,-2501l7249,-2501,7249,-2493,10463,-2493,10463,-2501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47;top:-3456;width:3237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ERIC</w:t>
                        </w:r>
                        <w:r>
                          <w:rPr>
                            <w:color w:val="FFFFFF"/>
                            <w:spacing w:val="-1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V.</w:t>
                        </w:r>
                        <w:r>
                          <w:rPr>
                            <w:color w:val="FFFFFF"/>
                            <w:spacing w:val="-1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13"/>
                            <w:sz w:val="39"/>
                          </w:rPr>
                          <w:t>GRIJALVA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605;top:-1729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247;top:-1477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559.446.3262</w:t>
                        </w:r>
                      </w:p>
                    </w:txbxContent>
                  </v:textbox>
                  <w10:wrap type="none"/>
                </v:shape>
                <v:shape style="position:absolute;left:9245;top:-1477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666;top:-1151;width:240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egrijalva@fennemorelaw.com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8100"/>
        </w:rPr>
        <w:t>ERIC</w:t>
      </w:r>
      <w:r>
        <w:rPr>
          <w:color w:val="FF8100"/>
          <w:spacing w:val="4"/>
        </w:rPr>
        <w:t> </w:t>
      </w:r>
      <w:r>
        <w:rPr>
          <w:color w:val="FF8100"/>
        </w:rPr>
        <w:t>V.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GRIJALVA</w:t>
      </w:r>
    </w:p>
    <w:p>
      <w:pPr>
        <w:pStyle w:val="BodyText"/>
        <w:spacing w:line="295" w:lineRule="auto" w:before="146"/>
        <w:ind w:left="124" w:right="283"/>
      </w:pPr>
      <w:r>
        <w:rPr>
          <w:color w:val="6E6158"/>
        </w:rPr>
        <w:t>Eric Grijalva has dedicated several years to litigation, effectively representing both plaintiffs and defendants in</w:t>
      </w:r>
      <w:r>
        <w:rPr>
          <w:color w:val="6E6158"/>
          <w:spacing w:val="80"/>
        </w:rPr>
        <w:t> </w:t>
      </w:r>
      <w:r>
        <w:rPr>
          <w:color w:val="6E6158"/>
        </w:rPr>
        <w:t>civil actions. His approach has consistently led to favorable outcomes for his clients, achieving success through</w:t>
      </w:r>
      <w:r>
        <w:rPr>
          <w:color w:val="6E6158"/>
          <w:spacing w:val="80"/>
        </w:rPr>
        <w:t> </w:t>
      </w:r>
      <w:r>
        <w:rPr>
          <w:color w:val="6E6158"/>
        </w:rPr>
        <w:t>settlements or jury trials. Eric holds the privilege to practice in all California State Courts as well as the U.S. District</w:t>
      </w:r>
      <w:r>
        <w:rPr>
          <w:color w:val="6E6158"/>
          <w:spacing w:val="80"/>
        </w:rPr>
        <w:t> </w:t>
      </w:r>
      <w:r>
        <w:rPr>
          <w:color w:val="6E6158"/>
        </w:rPr>
        <w:t>Courts for the Eastern and Central Districts of California.</w:t>
      </w:r>
    </w:p>
    <w:p>
      <w:pPr>
        <w:pStyle w:val="BodyText"/>
        <w:spacing w:line="292" w:lineRule="auto" w:before="205"/>
        <w:ind w:left="124" w:right="283"/>
      </w:pPr>
      <w:r>
        <w:rPr>
          <w:color w:val="6E6158"/>
        </w:rPr>
        <w:t>Eric’s academic journey began with earning a Bachelor of Arts in Philosophy and Communications from</w:t>
      </w:r>
      <w:r>
        <w:rPr>
          <w:color w:val="6E6158"/>
          <w:spacing w:val="80"/>
        </w:rPr>
        <w:t> </w:t>
      </w:r>
      <w:r>
        <w:rPr>
          <w:color w:val="6E6158"/>
        </w:rPr>
        <w:t>California State University, Fresno, in 2003. He then pursued and obtained his Juris Doctor from the University of</w:t>
      </w:r>
      <w:r>
        <w:rPr>
          <w:color w:val="6E6158"/>
          <w:spacing w:val="80"/>
        </w:rPr>
        <w:t> </w:t>
      </w:r>
      <w:r>
        <w:rPr>
          <w:color w:val="6E6158"/>
        </w:rPr>
        <w:t>Denver, Sturm College of Law, in 2007.</w:t>
      </w:r>
    </w:p>
    <w:p>
      <w:pPr>
        <w:pStyle w:val="BodyText"/>
        <w:spacing w:before="197"/>
        <w:ind w:left="124"/>
      </w:pP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field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civil</w:t>
      </w:r>
      <w:r>
        <w:rPr>
          <w:color w:val="6E6158"/>
          <w:spacing w:val="9"/>
        </w:rPr>
        <w:t> </w:t>
      </w:r>
      <w:r>
        <w:rPr>
          <w:color w:val="6E6158"/>
        </w:rPr>
        <w:t>litigation,</w:t>
      </w:r>
      <w:r>
        <w:rPr>
          <w:color w:val="6E6158"/>
          <w:spacing w:val="9"/>
        </w:rPr>
        <w:t> </w:t>
      </w:r>
      <w:r>
        <w:rPr>
          <w:color w:val="6E6158"/>
        </w:rPr>
        <w:t>Eric</w:t>
      </w:r>
      <w:r>
        <w:rPr>
          <w:color w:val="6E6158"/>
          <w:spacing w:val="10"/>
        </w:rPr>
        <w:t> </w:t>
      </w:r>
      <w:r>
        <w:rPr>
          <w:color w:val="6E6158"/>
        </w:rPr>
        <w:t>honed</w:t>
      </w:r>
      <w:r>
        <w:rPr>
          <w:color w:val="6E6158"/>
          <w:spacing w:val="9"/>
        </w:rPr>
        <w:t> </w:t>
      </w:r>
      <w:r>
        <w:rPr>
          <w:color w:val="6E6158"/>
        </w:rPr>
        <w:t>his</w:t>
      </w:r>
      <w:r>
        <w:rPr>
          <w:color w:val="6E6158"/>
          <w:spacing w:val="9"/>
        </w:rPr>
        <w:t> </w:t>
      </w:r>
      <w:r>
        <w:rPr>
          <w:color w:val="6E6158"/>
        </w:rPr>
        <w:t>skills,</w:t>
      </w:r>
      <w:r>
        <w:rPr>
          <w:color w:val="6E6158"/>
          <w:spacing w:val="10"/>
        </w:rPr>
        <w:t> </w:t>
      </w:r>
      <w:r>
        <w:rPr>
          <w:color w:val="6E6158"/>
        </w:rPr>
        <w:t>focusing</w:t>
      </w:r>
      <w:r>
        <w:rPr>
          <w:color w:val="6E6158"/>
          <w:spacing w:val="9"/>
        </w:rPr>
        <w:t> </w:t>
      </w:r>
      <w:r>
        <w:rPr>
          <w:color w:val="6E6158"/>
        </w:rPr>
        <w:t>on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broad</w:t>
      </w:r>
      <w:r>
        <w:rPr>
          <w:color w:val="6E6158"/>
          <w:spacing w:val="9"/>
        </w:rPr>
        <w:t> </w:t>
      </w:r>
      <w:r>
        <w:rPr>
          <w:color w:val="6E6158"/>
        </w:rPr>
        <w:t>range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areas</w:t>
      </w:r>
      <w:r>
        <w:rPr>
          <w:color w:val="6E6158"/>
          <w:spacing w:val="9"/>
        </w:rPr>
        <w:t> </w:t>
      </w:r>
      <w:r>
        <w:rPr>
          <w:color w:val="6E6158"/>
        </w:rPr>
        <w:t>including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Insurance</w:t>
      </w:r>
    </w:p>
    <w:p>
      <w:pPr>
        <w:pStyle w:val="BodyText"/>
        <w:spacing w:line="292" w:lineRule="auto" w:before="60"/>
        <w:ind w:left="124"/>
      </w:pPr>
      <w:r>
        <w:rPr>
          <w:color w:val="6E6158"/>
        </w:rPr>
        <w:t>Defense, Negligence, Personal Injury, Premises Liability, Product Liability, Torts, and Insurance Subrogation. This</w:t>
      </w:r>
      <w:r>
        <w:rPr>
          <w:color w:val="6E6158"/>
          <w:spacing w:val="80"/>
        </w:rPr>
        <w:t> </w:t>
      </w:r>
      <w:r>
        <w:rPr>
          <w:color w:val="6E6158"/>
        </w:rPr>
        <w:t>comprehensive background enables him to navigate the complexities of the legal system with a depth of</w:t>
      </w:r>
      <w:r>
        <w:rPr>
          <w:color w:val="6E6158"/>
          <w:spacing w:val="80"/>
        </w:rPr>
        <w:t> </w:t>
      </w:r>
      <w:r>
        <w:rPr>
          <w:color w:val="6E6158"/>
        </w:rPr>
        <w:t>understanding and a commitment to justice.</w:t>
      </w:r>
    </w:p>
    <w:p>
      <w:pPr>
        <w:pStyle w:val="BodyText"/>
        <w:spacing w:line="295" w:lineRule="auto" w:before="197"/>
        <w:ind w:left="124" w:right="283"/>
      </w:pP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committed</w:t>
      </w:r>
      <w:r>
        <w:rPr>
          <w:color w:val="6E6158"/>
          <w:spacing w:val="23"/>
        </w:rPr>
        <w:t> </w:t>
      </w:r>
      <w:r>
        <w:rPr>
          <w:color w:val="6E6158"/>
        </w:rPr>
        <w:t>legal</w:t>
      </w:r>
      <w:r>
        <w:rPr>
          <w:color w:val="6E6158"/>
          <w:spacing w:val="23"/>
        </w:rPr>
        <w:t> </w:t>
      </w:r>
      <w:r>
        <w:rPr>
          <w:color w:val="6E6158"/>
        </w:rPr>
        <w:t>professional,</w:t>
      </w:r>
      <w:r>
        <w:rPr>
          <w:color w:val="6E6158"/>
          <w:spacing w:val="23"/>
        </w:rPr>
        <w:t> </w:t>
      </w:r>
      <w:r>
        <w:rPr>
          <w:color w:val="6E6158"/>
        </w:rPr>
        <w:t>Eric</w:t>
      </w:r>
      <w:r>
        <w:rPr>
          <w:color w:val="6E6158"/>
          <w:spacing w:val="23"/>
        </w:rPr>
        <w:t> </w:t>
      </w:r>
      <w:r>
        <w:rPr>
          <w:color w:val="6E6158"/>
        </w:rPr>
        <w:t>is</w:t>
      </w:r>
      <w:r>
        <w:rPr>
          <w:color w:val="6E6158"/>
          <w:spacing w:val="23"/>
        </w:rPr>
        <w:t> </w:t>
      </w:r>
      <w:r>
        <w:rPr>
          <w:color w:val="6E6158"/>
        </w:rPr>
        <w:t>an</w:t>
      </w:r>
      <w:r>
        <w:rPr>
          <w:color w:val="6E6158"/>
          <w:spacing w:val="23"/>
        </w:rPr>
        <w:t> </w:t>
      </w:r>
      <w:r>
        <w:rPr>
          <w:color w:val="6E6158"/>
        </w:rPr>
        <w:t>active</w:t>
      </w:r>
      <w:r>
        <w:rPr>
          <w:color w:val="6E6158"/>
          <w:spacing w:val="23"/>
        </w:rPr>
        <w:t> </w:t>
      </w:r>
      <w:r>
        <w:rPr>
          <w:color w:val="6E6158"/>
        </w:rPr>
        <w:t>member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State</w:t>
      </w:r>
      <w:r>
        <w:rPr>
          <w:color w:val="6E6158"/>
          <w:spacing w:val="23"/>
        </w:rPr>
        <w:t> </w:t>
      </w:r>
      <w:r>
        <w:rPr>
          <w:color w:val="6E6158"/>
        </w:rPr>
        <w:t>Bar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California,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Fresno</w:t>
      </w:r>
      <w:r>
        <w:rPr>
          <w:color w:val="6E6158"/>
          <w:spacing w:val="23"/>
        </w:rPr>
        <w:t> </w:t>
      </w:r>
      <w:r>
        <w:rPr>
          <w:color w:val="6E6158"/>
        </w:rPr>
        <w:t>County Bar Association, and the Association of Defense Counsel of Northern California and Nevada. His involvement in</w:t>
      </w:r>
      <w:r>
        <w:rPr>
          <w:color w:val="6E6158"/>
          <w:spacing w:val="80"/>
        </w:rPr>
        <w:t> </w:t>
      </w:r>
      <w:r>
        <w:rPr>
          <w:color w:val="6E6158"/>
        </w:rPr>
        <w:t>these organizations reflects his dedication to the legal community and his ongoing commitment to professional</w:t>
      </w:r>
      <w:r>
        <w:rPr>
          <w:color w:val="6E6158"/>
          <w:spacing w:val="80"/>
        </w:rPr>
        <w:t> </w:t>
      </w:r>
      <w:r>
        <w:rPr>
          <w:color w:val="6E6158"/>
          <w:spacing w:val="-2"/>
        </w:rPr>
        <w:t>development.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55"/>
        <w:ind w:left="377" w:right="57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121602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74997pt;width:1.65pt;height:1.65pt;mso-position-horizontal-relative:page;mso-position-vertical-relative:paragraph;z-index:15729152" id="docshape11" coordorigin="975,191" coordsize="33,33" path="m996,224l987,224,983,222,977,216,975,212,975,203,977,199,983,193,987,191,996,191,1000,193,1006,199,1008,203,1008,208,1008,212,1006,216,1000,222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379968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18747pt;width:1.65pt;height:1.65pt;mso-position-horizontal-relative:page;mso-position-vertical-relative:paragraph;z-index:15729664" id="docshape12" coordorigin="975,598" coordsize="33,33" path="m996,631l987,631,983,629,977,623,975,619,975,610,977,606,983,600,987,598,996,598,1000,600,1006,606,1008,610,1008,615,1008,619,1006,623,1000,629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Denver, Strum College of </w:t>
      </w:r>
      <w:r>
        <w:rPr>
          <w:color w:val="6E6158"/>
        </w:rPr>
        <w:t>Law</w:t>
      </w:r>
      <w:r>
        <w:rPr>
          <w:color w:val="6E6158"/>
        </w:rPr>
        <w:t> B.A., California State University, Fresno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116730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1386pt;width:1.65pt;height:1.65pt;mso-position-horizontal-relative:page;mso-position-vertical-relative:paragraph;z-index:15730176" id="docshape13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121631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77273pt;width:1.65pt;height:1.65pt;mso-position-horizontal-relative:page;mso-position-vertical-relative:paragraph;z-index:15730688" id="docshape14" coordorigin="975,192" coordsize="33,33" path="m996,224l987,224,983,223,977,216,975,212,975,203,977,199,983,193,987,192,996,192,1000,193,1006,199,1008,203,1008,208,1008,212,1006,216,1000,223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74"/>
        <w:ind w:left="377" w:right="48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133646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3317pt;width:1.65pt;height:1.65pt;mso-position-horizontal-relative:page;mso-position-vertical-relative:paragraph;z-index:15731200" id="docshape15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392011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867065pt;width:1.65pt;height:1.65pt;mso-position-horizontal-relative:page;mso-position-vertical-relative:paragraph;z-index:15731712" id="docshape16" coordorigin="975,617" coordsize="33,33" path="m996,650l987,650,983,648,977,642,975,638,975,629,977,625,983,619,987,617,996,617,1000,619,1006,625,1008,629,1008,634,1008,638,1006,642,1000,648,996,6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Court, Eastern District of California United</w:t>
      </w:r>
      <w:r>
        <w:rPr>
          <w:color w:val="6E6158"/>
          <w:spacing w:val="11"/>
        </w:rPr>
        <w:t> </w:t>
      </w:r>
      <w:r>
        <w:rPr>
          <w:color w:val="6E6158"/>
        </w:rPr>
        <w:t>States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Central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sectPr>
      <w:type w:val="continuous"/>
      <w:pgSz w:w="12240" w:h="15840"/>
      <w:pgMar w:top="64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egrijalva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2024-11-12T11:46:14Z</dcterms:created>
  <dcterms:modified xsi:type="dcterms:W3CDTF">2024-11-12T11:46:14Z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