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228476" y="763308"/>
                            <a:ext cx="19888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B.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LOS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REYES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997679" y="2133494"/>
                            <a:ext cx="4502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01339" y="2500373"/>
                            <a:ext cx="16433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jdelosreyes@fennemorelaw.com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00;top:-3887;width:3132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B.</w:t>
                        </w:r>
                        <w:r>
                          <w:rPr>
                            <w:color w:val="FFFFFF"/>
                            <w:spacing w:val="-1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DE</w:t>
                        </w:r>
                        <w:r>
                          <w:rPr>
                            <w:color w:val="FFFFFF"/>
                            <w:spacing w:val="-1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LOS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REYES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11;top:-1729;width:709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572;top:-1151;width:2588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jdelosreyes@fennemorelaw.com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B.</w:t>
      </w:r>
      <w:r>
        <w:rPr>
          <w:color w:val="FF8100"/>
          <w:spacing w:val="5"/>
        </w:rPr>
        <w:t> </w:t>
      </w:r>
      <w:r>
        <w:rPr>
          <w:color w:val="FF8100"/>
        </w:rPr>
        <w:t>DE</w:t>
      </w:r>
      <w:r>
        <w:rPr>
          <w:color w:val="FF8100"/>
          <w:spacing w:val="5"/>
        </w:rPr>
        <w:t> </w:t>
      </w:r>
      <w:r>
        <w:rPr>
          <w:color w:val="FF8100"/>
        </w:rPr>
        <w:t>LOS</w:t>
      </w:r>
      <w:r>
        <w:rPr>
          <w:color w:val="FF8100"/>
          <w:spacing w:val="5"/>
        </w:rPr>
        <w:t> </w:t>
      </w:r>
      <w:r>
        <w:rPr>
          <w:color w:val="FF8100"/>
          <w:spacing w:val="-4"/>
        </w:rPr>
        <w:t>REYES</w:t>
      </w:r>
    </w:p>
    <w:p>
      <w:pPr>
        <w:pStyle w:val="BodyText"/>
        <w:spacing w:line="295" w:lineRule="auto" w:before="147"/>
        <w:ind w:left="124" w:right="185"/>
      </w:pPr>
      <w:r>
        <w:rPr>
          <w:color w:val="6E6158"/>
        </w:rPr>
        <w:t>James has represented a variety of clients in matters relating to construction, real estate and general litigation.</w:t>
      </w:r>
      <w:r>
        <w:rPr>
          <w:color w:val="6E6158"/>
          <w:spacing w:val="8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includes</w:t>
      </w:r>
      <w:r>
        <w:rPr>
          <w:color w:val="6E6158"/>
          <w:spacing w:val="30"/>
        </w:rPr>
        <w:t> </w:t>
      </w:r>
      <w:r>
        <w:rPr>
          <w:color w:val="6E6158"/>
        </w:rPr>
        <w:t>all</w:t>
      </w:r>
      <w:r>
        <w:rPr>
          <w:color w:val="6E6158"/>
          <w:spacing w:val="30"/>
        </w:rPr>
        <w:t> </w:t>
      </w:r>
      <w:r>
        <w:rPr>
          <w:color w:val="6E6158"/>
        </w:rPr>
        <w:t>phases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civil</w:t>
      </w:r>
      <w:r>
        <w:rPr>
          <w:color w:val="6E6158"/>
          <w:spacing w:val="30"/>
        </w:rPr>
        <w:t> </w:t>
      </w:r>
      <w:r>
        <w:rPr>
          <w:color w:val="6E6158"/>
        </w:rPr>
        <w:t>litigation,</w:t>
      </w:r>
      <w:r>
        <w:rPr>
          <w:color w:val="6E6158"/>
          <w:spacing w:val="30"/>
        </w:rPr>
        <w:t> </w:t>
      </w:r>
      <w:r>
        <w:rPr>
          <w:color w:val="6E6158"/>
        </w:rPr>
        <w:t>including</w:t>
      </w:r>
      <w:r>
        <w:rPr>
          <w:color w:val="6E6158"/>
          <w:spacing w:val="30"/>
        </w:rPr>
        <w:t> </w:t>
      </w:r>
      <w:r>
        <w:rPr>
          <w:color w:val="6E6158"/>
        </w:rPr>
        <w:t>handling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pre-litigation</w:t>
      </w:r>
      <w:r>
        <w:rPr>
          <w:color w:val="6E6158"/>
          <w:spacing w:val="30"/>
        </w:rPr>
        <w:t> </w:t>
      </w:r>
      <w:r>
        <w:rPr>
          <w:color w:val="6E6158"/>
        </w:rPr>
        <w:t>claims,</w:t>
      </w:r>
      <w:r>
        <w:rPr>
          <w:color w:val="6E6158"/>
          <w:spacing w:val="30"/>
        </w:rPr>
        <w:t> </w:t>
      </w:r>
      <w:r>
        <w:rPr>
          <w:color w:val="6E6158"/>
        </w:rPr>
        <w:t>discovery,</w:t>
      </w:r>
      <w:r>
        <w:rPr>
          <w:color w:val="6E6158"/>
          <w:spacing w:val="30"/>
        </w:rPr>
        <w:t> </w:t>
      </w:r>
      <w:r>
        <w:rPr>
          <w:color w:val="6E6158"/>
        </w:rPr>
        <w:t>law and motion, depositions, dispositive motions, expert meeting and mediation proceedings, trial preparation </w:t>
      </w:r>
      <w:r>
        <w:rPr>
          <w:color w:val="6E6158"/>
        </w:rPr>
        <w:t>and</w:t>
      </w:r>
      <w:r>
        <w:rPr>
          <w:color w:val="6E6158"/>
          <w:spacing w:val="80"/>
        </w:rPr>
        <w:t> </w:t>
      </w:r>
      <w:r>
        <w:rPr>
          <w:color w:val="6E6158"/>
        </w:rPr>
        <w:t>post-trial motions.</w:t>
      </w:r>
    </w:p>
    <w:p>
      <w:pPr>
        <w:pStyle w:val="BodyText"/>
        <w:spacing w:line="297" w:lineRule="auto" w:before="196"/>
        <w:ind w:left="124" w:right="249"/>
      </w:pPr>
      <w:r>
        <w:rPr>
          <w:color w:val="6E6158"/>
        </w:rPr>
        <w:t>Before joining Fennemore Wendel, James worked for Haight Brown and Bonesteel’s San Francisco office and</w:t>
      </w:r>
      <w:r>
        <w:rPr>
          <w:color w:val="6E6158"/>
          <w:spacing w:val="80"/>
        </w:rPr>
        <w:t> </w:t>
      </w:r>
      <w:r>
        <w:rPr>
          <w:color w:val="6E6158"/>
        </w:rPr>
        <w:t>Boornazian,</w:t>
      </w:r>
      <w:r>
        <w:rPr>
          <w:color w:val="6E6158"/>
          <w:spacing w:val="16"/>
        </w:rPr>
        <w:t> </w:t>
      </w:r>
      <w:r>
        <w:rPr>
          <w:color w:val="6E6158"/>
        </w:rPr>
        <w:t>Jensen</w:t>
      </w:r>
      <w:r>
        <w:rPr>
          <w:color w:val="6E6158"/>
          <w:spacing w:val="16"/>
        </w:rPr>
        <w:t> </w:t>
      </w:r>
      <w:r>
        <w:rPr>
          <w:color w:val="6E6158"/>
        </w:rPr>
        <w:t>&amp;</w:t>
      </w:r>
      <w:r>
        <w:rPr>
          <w:color w:val="6E6158"/>
          <w:spacing w:val="16"/>
        </w:rPr>
        <w:t> </w:t>
      </w:r>
      <w:r>
        <w:rPr>
          <w:color w:val="6E6158"/>
        </w:rPr>
        <w:t>Garthe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Oakland</w:t>
      </w:r>
      <w:r>
        <w:rPr>
          <w:color w:val="6E6158"/>
          <w:spacing w:val="16"/>
        </w:rPr>
        <w:t> </w:t>
      </w:r>
      <w:r>
        <w:rPr>
          <w:color w:val="6E6158"/>
        </w:rPr>
        <w:t>where</w:t>
      </w:r>
      <w:r>
        <w:rPr>
          <w:color w:val="6E6158"/>
          <w:spacing w:val="16"/>
        </w:rPr>
        <w:t> </w:t>
      </w:r>
      <w:r>
        <w:rPr>
          <w:color w:val="6E6158"/>
        </w:rPr>
        <w:t>he</w:t>
      </w:r>
      <w:r>
        <w:rPr>
          <w:color w:val="6E6158"/>
          <w:spacing w:val="16"/>
        </w:rPr>
        <w:t> </w:t>
      </w:r>
      <w:r>
        <w:rPr>
          <w:color w:val="6E6158"/>
        </w:rPr>
        <w:t>focused</w:t>
      </w:r>
      <w:r>
        <w:rPr>
          <w:color w:val="6E6158"/>
          <w:spacing w:val="16"/>
        </w:rPr>
        <w:t> </w:t>
      </w:r>
      <w:r>
        <w:rPr>
          <w:color w:val="6E6158"/>
        </w:rPr>
        <w:t>on</w:t>
      </w:r>
      <w:r>
        <w:rPr>
          <w:color w:val="6E6158"/>
          <w:spacing w:val="16"/>
        </w:rPr>
        <w:t> </w:t>
      </w:r>
      <w:r>
        <w:rPr>
          <w:color w:val="6E6158"/>
        </w:rPr>
        <w:t>construction</w:t>
      </w:r>
      <w:r>
        <w:rPr>
          <w:color w:val="6E6158"/>
          <w:spacing w:val="16"/>
        </w:rPr>
        <w:t> </w:t>
      </w:r>
      <w:r>
        <w:rPr>
          <w:color w:val="6E6158"/>
        </w:rPr>
        <w:t>defect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civil</w:t>
      </w:r>
      <w:r>
        <w:rPr>
          <w:color w:val="6E6158"/>
          <w:spacing w:val="16"/>
        </w:rPr>
        <w:t> </w:t>
      </w:r>
      <w:r>
        <w:rPr>
          <w:color w:val="6E6158"/>
        </w:rPr>
        <w:t>litigation in a variety of practice areas.</w:t>
      </w:r>
    </w:p>
    <w:p>
      <w:pPr>
        <w:pStyle w:val="BodyText"/>
        <w:spacing w:line="297" w:lineRule="auto" w:before="192"/>
        <w:ind w:left="124" w:right="381"/>
      </w:pPr>
      <w:r>
        <w:rPr>
          <w:color w:val="6E6158"/>
        </w:rPr>
        <w:t>James serves on the board of directors for Operation Dignity, a non-profit organization that provides housing</w:t>
      </w:r>
      <w:r>
        <w:rPr>
          <w:color w:val="6E6158"/>
          <w:spacing w:val="80"/>
        </w:rPr>
        <w:t> </w:t>
      </w:r>
      <w:r>
        <w:rPr>
          <w:color w:val="6E6158"/>
        </w:rPr>
        <w:t>and support services to veterans in the Bay Area. He regularly serves as an alumni coach and judge for UC</w:t>
      </w:r>
      <w:r>
        <w:rPr>
          <w:color w:val="6E6158"/>
          <w:spacing w:val="80"/>
        </w:rPr>
        <w:t> </w:t>
      </w:r>
      <w:r>
        <w:rPr>
          <w:color w:val="6E6158"/>
        </w:rPr>
        <w:t>Hastings Moot Court intercollegiate competition teams.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77" w:right="49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116414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6533pt;width:1.65pt;height:1.65pt;mso-position-horizontal-relative:page;mso-position-vertical-relative:paragraph;z-index:15729152" id="docshape11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374780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10283pt;width:1.65pt;height:1.65pt;mso-position-horizontal-relative:page;mso-position-vertical-relative:paragraph;z-index:15729664" id="docshape12" coordorigin="975,590" coordsize="33,33" path="m996,623l987,623,983,621,977,615,975,611,975,602,977,598,983,592,987,590,996,590,1000,592,1006,598,1008,602,1008,606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Hastings College of the </w:t>
      </w:r>
      <w:r>
        <w:rPr>
          <w:color w:val="6E6158"/>
        </w:rPr>
        <w:t>Law</w:t>
      </w:r>
      <w:r>
        <w:rPr>
          <w:color w:val="6E6158"/>
        </w:rPr>
        <w:t> B.A., Stanford University</w:t>
      </w:r>
    </w:p>
    <w:p>
      <w:pPr>
        <w:pStyle w:val="Heading1"/>
        <w:spacing w:before="167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77" w:right="76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116710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9796pt;width:1.65pt;height:1.65pt;mso-position-horizontal-relative:page;mso-position-vertical-relative:paragraph;z-index:15730176" id="docshape13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375076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3546pt;width:1.65pt;height:1.65pt;mso-position-horizontal-relative:page;mso-position-vertical-relative:paragraph;z-index:15730688" id="docshape14" coordorigin="975,591" coordsize="33,33" path="m996,623l987,623,983,622,977,615,975,611,975,602,977,599,983,592,987,591,996,591,1000,592,1006,599,1008,602,1008,607,1008,611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116283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6185pt;width:1.65pt;height:1.65pt;mso-position-horizontal-relative:page;mso-position-vertical-relative:paragraph;z-index:15731200" id="docshape15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“Attorney James de los Reyes on becoming a lawyer, diversity in the profession and community</w:t>
      </w:r>
      <w:r>
        <w:rPr>
          <w:color w:val="6E6158"/>
          <w:spacing w:val="40"/>
        </w:rPr>
        <w:t> </w:t>
      </w:r>
      <w:r>
        <w:rPr>
          <w:color w:val="6E6158"/>
        </w:rPr>
        <w:t>service,” San Francisco Business Times, May 23, 2023</w:t>
      </w:r>
    </w:p>
    <w:p>
      <w:pPr>
        <w:pStyle w:val="BodyText"/>
        <w:spacing w:before="11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95189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95217pt;width:1.65pt;height:1.65pt;mso-position-horizontal-relative:page;mso-position-vertical-relative:paragraph;z-index:15731712" id="docshape16" coordorigin="975,150" coordsize="33,33" path="m996,182l987,182,983,181,977,175,975,171,975,162,977,158,983,151,987,150,996,150,1000,151,1006,158,1008,162,1008,166,1008,171,1006,175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3"/>
        </w:rPr>
        <w:t> </w:t>
      </w:r>
      <w:r>
        <w:rPr>
          <w:color w:val="6E6158"/>
        </w:rPr>
        <w:t>“Meet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Donors!”</w:t>
      </w:r>
      <w:r>
        <w:rPr>
          <w:color w:val="6E6158"/>
          <w:spacing w:val="13"/>
        </w:rPr>
        <w:t> </w:t>
      </w:r>
      <w:r>
        <w:rPr>
          <w:color w:val="6E6158"/>
        </w:rPr>
        <w:t>Operation</w:t>
      </w:r>
      <w:r>
        <w:rPr>
          <w:color w:val="6E6158"/>
          <w:spacing w:val="13"/>
        </w:rPr>
        <w:t> </w:t>
      </w:r>
      <w:r>
        <w:rPr>
          <w:color w:val="6E6158"/>
        </w:rPr>
        <w:t>Dignity,</w:t>
      </w:r>
      <w:r>
        <w:rPr>
          <w:color w:val="6E6158"/>
          <w:spacing w:val="13"/>
        </w:rPr>
        <w:t> </w:t>
      </w:r>
      <w:r>
        <w:rPr>
          <w:color w:val="6E6158"/>
        </w:rPr>
        <w:t>May</w:t>
      </w:r>
      <w:r>
        <w:rPr>
          <w:color w:val="6E6158"/>
          <w:spacing w:val="13"/>
        </w:rPr>
        <w:t> </w:t>
      </w:r>
      <w:r>
        <w:rPr>
          <w:color w:val="6E6158"/>
        </w:rPr>
        <w:t>2,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116512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423pt;width:1.65pt;height:1.65pt;mso-position-horizontal-relative:page;mso-position-vertical-relative:paragraph;z-index:15732224" id="docshape17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Watch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Construction,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640" w:bottom="280" w:left="720" w:right="720"/>
        </w:sectPr>
      </w:pPr>
    </w:p>
    <w:p>
      <w:pPr>
        <w:spacing w:before="78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2736" id="docshape18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Watch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Personal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Injury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Defendants,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116595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075pt;width:1.65pt;height:1.65pt;mso-position-horizontal-relative:page;mso-position-vertical-relative:paragraph;z-index:15733248" id="docshape19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138857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33669pt;width:1.65pt;height:1.65pt;mso-position-horizontal-relative:page;mso-position-vertical-relative:paragraph;z-index:15733760" id="docshape20" coordorigin="975,219" coordsize="33,33" path="m996,251l987,251,983,250,977,243,975,239,975,230,977,227,983,220,987,219,996,219,1000,220,1006,227,1008,230,1008,235,1008,239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Judiciary</w:t>
      </w:r>
      <w:r>
        <w:rPr>
          <w:color w:val="6E6158"/>
          <w:spacing w:val="13"/>
        </w:rPr>
        <w:t> </w:t>
      </w:r>
      <w:r>
        <w:rPr>
          <w:color w:val="6E6158"/>
        </w:rPr>
        <w:t>Committee,</w:t>
      </w:r>
      <w:r>
        <w:rPr>
          <w:color w:val="6E6158"/>
          <w:spacing w:val="13"/>
        </w:rPr>
        <w:t> </w:t>
      </w:r>
      <w:r>
        <w:rPr>
          <w:color w:val="6E6158"/>
        </w:rPr>
        <w:t>Filipino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116366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2681pt;width:1.65pt;height:1.65pt;mso-position-horizontal-relative:page;mso-position-vertical-relative:paragraph;z-index:15734272" id="docshape21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134095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8724pt;width:1.65pt;height:1.65pt;mso-position-horizontal-relative:page;mso-position-vertical-relative:paragraph;z-index:15734784" id="docshape22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delosrey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2024-11-12T12:02:17Z</dcterms:created>
  <dcterms:modified xsi:type="dcterms:W3CDTF">2024-11-12T12:02:17Z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