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7"/>
        <w:rPr>
          <w:rFonts w:ascii="Times New Roman"/>
        </w:rPr>
      </w:pPr>
    </w:p>
    <w:p>
      <w:pPr>
        <w:pStyle w:val="BodyText"/>
        <w:spacing w:line="295" w:lineRule="auto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407273</wp:posOffset>
                </wp:positionH>
                <wp:positionV relativeFrom="paragraph">
                  <wp:posOffset>-4828536</wp:posOffset>
                </wp:positionV>
                <wp:extent cx="6955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736465"/>
                          <a:chExt cx="6955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59265" y="763308"/>
                            <a:ext cx="13271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 M.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LAWRENCE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20205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28790" y="2500373"/>
                            <a:ext cx="1588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jlawrence@fennemorelaw.com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682606" y="3756030"/>
                            <a:ext cx="360616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Complaining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problem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proposing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solution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called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whining.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-Teddy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5817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JAMES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LAWRENCE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80.199707pt;width:547.7pt;height:372.95pt;mso-position-horizontal-relative:page;mso-position-vertical-relative:paragraph;z-index:15729664" id="docshapegroup1" coordorigin="641,-7604" coordsize="10954,7459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7604;width:2165;height:424" type="#_x0000_t75" id="docshape3" href="https://www.fennemorelaw.com/" stroked="false">
                  <v:imagedata r:id="rId5" o:title=""/>
                </v:shape>
                <v:shape style="position:absolute;left:641;top:-7181;width:5477;height:4557" type="#_x0000_t75" id="docshape4" stroked="false">
                  <v:imagedata r:id="rId7" o:title=""/>
                </v:shape>
                <v:rect style="position:absolute;left:6117;top:-7181;width:5477;height:4557" id="docshape5" filled="true" fillcolor="#262424" stroked="false">
                  <v:fill type="solid"/>
                </v:rect>
                <v:shape style="position:absolute;left:7192;top:-5017;width:3337;height:505" id="docshape6" coordorigin="7192,-5016" coordsize="3337,505" path="m10528,-4520l7192,-4520,7192,-4512,10528,-4512,10528,-4520xm10528,-5016l7192,-5016,7192,-5008,10528,-5008,10528,-50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21;top:-6402;width:209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 M.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LAWRENCE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4245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99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602.916.5443</w:t>
                        </w:r>
                      </w:p>
                    </w:txbxContent>
                  </v:textbox>
                  <w10:wrap type="none"/>
                </v:shape>
                <v:shape style="position:absolute;left:9305;top:-399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602.916.5643</w:t>
                        </w:r>
                      </w:p>
                    </w:txbxContent>
                  </v:textbox>
                  <w10:wrap type="none"/>
                </v:shape>
                <v:shape style="position:absolute;left:7615;top:-3667;width:250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jlawrence@fennemorelaw.com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4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291;top:-1689;width:5679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Complaining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problem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without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proposing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solution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called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whining.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-Teddy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844;top:-442;width:2491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JAMES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LAWRENCE</w:t>
                        </w:r>
                      </w:p>
                    </w:txbxContent>
                  </v:textbox>
                  <w10:wrap type="none"/>
                </v:shape>
                <v:shape style="position:absolute;left:8986;top:-194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James Lawrence is an associate in the firm’s Phoenix office. He has a broad corporate practice with a focus on</w:t>
      </w:r>
      <w:r>
        <w:rPr>
          <w:color w:val="6E6158"/>
          <w:spacing w:val="80"/>
        </w:rPr>
        <w:t> </w:t>
      </w:r>
      <w:r>
        <w:rPr>
          <w:color w:val="6E6158"/>
        </w:rPr>
        <w:t>mergers and acquisitions. James has helped dozens of clients structure, negotiate, and close acquisitions and</w:t>
      </w:r>
      <w:r>
        <w:rPr>
          <w:color w:val="6E6158"/>
          <w:spacing w:val="80"/>
        </w:rPr>
        <w:t> </w:t>
      </w:r>
      <w:r>
        <w:rPr>
          <w:color w:val="6E6158"/>
        </w:rPr>
        <w:t>divestitures</w:t>
      </w:r>
      <w:r>
        <w:rPr>
          <w:color w:val="6E6158"/>
          <w:spacing w:val="32"/>
        </w:rPr>
        <w:t> </w:t>
      </w:r>
      <w:r>
        <w:rPr>
          <w:color w:val="6E6158"/>
        </w:rPr>
        <w:t>across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wide</w:t>
      </w:r>
      <w:r>
        <w:rPr>
          <w:color w:val="6E6158"/>
          <w:spacing w:val="32"/>
        </w:rPr>
        <w:t> </w:t>
      </w:r>
      <w:r>
        <w:rPr>
          <w:color w:val="6E6158"/>
        </w:rPr>
        <w:t>range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industries,</w:t>
      </w:r>
      <w:r>
        <w:rPr>
          <w:color w:val="6E6158"/>
          <w:spacing w:val="32"/>
        </w:rPr>
        <w:t> </w:t>
      </w:r>
      <w:r>
        <w:rPr>
          <w:color w:val="6E6158"/>
        </w:rPr>
        <w:t>such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manufacturing,</w:t>
      </w:r>
      <w:r>
        <w:rPr>
          <w:color w:val="6E6158"/>
          <w:spacing w:val="32"/>
        </w:rPr>
        <w:t> </w:t>
      </w:r>
      <w:r>
        <w:rPr>
          <w:color w:val="6E6158"/>
        </w:rPr>
        <w:t>technology,</w:t>
      </w:r>
      <w:r>
        <w:rPr>
          <w:color w:val="6E6158"/>
          <w:spacing w:val="32"/>
        </w:rPr>
        <w:t> </w:t>
      </w:r>
      <w:r>
        <w:rPr>
          <w:color w:val="6E6158"/>
        </w:rPr>
        <w:t>health</w:t>
      </w:r>
      <w:r>
        <w:rPr>
          <w:color w:val="6E6158"/>
          <w:spacing w:val="32"/>
        </w:rPr>
        <w:t> </w:t>
      </w:r>
      <w:r>
        <w:rPr>
          <w:color w:val="6E6158"/>
        </w:rPr>
        <w:t>care,</w:t>
      </w:r>
      <w:r>
        <w:rPr>
          <w:color w:val="6E6158"/>
          <w:spacing w:val="32"/>
        </w:rPr>
        <w:t> </w:t>
      </w:r>
      <w:r>
        <w:rPr>
          <w:color w:val="6E6158"/>
        </w:rPr>
        <w:t>agriculture, private</w:t>
      </w:r>
      <w:r>
        <w:rPr>
          <w:color w:val="6E6158"/>
          <w:spacing w:val="29"/>
        </w:rPr>
        <w:t> </w:t>
      </w:r>
      <w:r>
        <w:rPr>
          <w:color w:val="6E6158"/>
        </w:rPr>
        <w:t>equity,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food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entertainment.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joint</w:t>
      </w:r>
      <w:r>
        <w:rPr>
          <w:color w:val="6E6158"/>
          <w:spacing w:val="29"/>
        </w:rPr>
        <w:t> </w:t>
      </w:r>
      <w:r>
        <w:rPr>
          <w:color w:val="6E6158"/>
        </w:rPr>
        <w:t>ventures,</w:t>
      </w:r>
      <w:r>
        <w:rPr>
          <w:color w:val="6E6158"/>
          <w:spacing w:val="29"/>
        </w:rPr>
        <w:t> </w:t>
      </w:r>
      <w:r>
        <w:rPr>
          <w:color w:val="6E6158"/>
        </w:rPr>
        <w:t>entity</w:t>
      </w:r>
      <w:r>
        <w:rPr>
          <w:color w:val="6E6158"/>
          <w:spacing w:val="29"/>
        </w:rPr>
        <w:t> </w:t>
      </w:r>
      <w:r>
        <w:rPr>
          <w:color w:val="6E6158"/>
        </w:rPr>
        <w:t>formation,</w:t>
      </w:r>
    </w:p>
    <w:p>
      <w:pPr>
        <w:pStyle w:val="BodyText"/>
        <w:spacing w:before="2"/>
        <w:ind w:left="124"/>
      </w:pPr>
      <w:r>
        <w:rPr>
          <w:color w:val="6E6158"/>
        </w:rPr>
        <w:t>financing,</w:t>
      </w:r>
      <w:r>
        <w:rPr>
          <w:color w:val="6E6158"/>
          <w:spacing w:val="18"/>
        </w:rPr>
        <w:t> </w:t>
      </w:r>
      <w:r>
        <w:rPr>
          <w:color w:val="6E6158"/>
        </w:rPr>
        <w:t>corporate</w:t>
      </w:r>
      <w:r>
        <w:rPr>
          <w:color w:val="6E6158"/>
          <w:spacing w:val="19"/>
        </w:rPr>
        <w:t> </w:t>
      </w:r>
      <w:r>
        <w:rPr>
          <w:color w:val="6E6158"/>
        </w:rPr>
        <w:t>restructuring,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commercial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contracts.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24" w:right="438"/>
      </w:pPr>
      <w:r>
        <w:rPr>
          <w:color w:val="6E6158"/>
        </w:rPr>
        <w:t>Outside of work, James enjoys fly fishing, gardening, hunting, and traveling. Before becoming an attorney,</w:t>
      </w:r>
      <w:r>
        <w:rPr>
          <w:color w:val="6E6158"/>
          <w:spacing w:val="80"/>
        </w:rPr>
        <w:t> </w:t>
      </w:r>
      <w:r>
        <w:rPr>
          <w:color w:val="6E6158"/>
        </w:rPr>
        <w:t>James worked as a hotshot firefighter for the department of the interior.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77" w:right="20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619132</wp:posOffset>
                </wp:positionH>
                <wp:positionV relativeFrom="paragraph">
                  <wp:posOffset>635201</wp:posOffset>
                </wp:positionV>
                <wp:extent cx="20955" cy="2095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0.015831pt;width:1.65pt;height:1.65pt;mso-position-horizontal-relative:page;mso-position-vertical-relative:paragraph;z-index:-15728640;mso-wrap-distance-left:0;mso-wrap-distance-right:0" id="docshape16" coordorigin="975,1000" coordsize="33,33" path="m996,1033l987,1033,983,1031,977,1025,975,1021,975,1012,977,1008,983,1002,987,1000,996,1000,1000,1002,1006,1008,1008,1012,1008,1017,1008,1021,1006,1025,1000,1031,996,103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116742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2361pt;width:1.65pt;height:1.65pt;mso-position-horizontal-relative:page;mso-position-vertical-relative:paragraph;z-index:15730176" id="docshape17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380275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42986pt;width:1.65pt;height:1.65pt;mso-position-horizontal-relative:page;mso-position-vertical-relative:paragraph;z-index:15730688" id="docshape18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summa cum laude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Economics University of Nevada, Reno</w:t>
      </w:r>
    </w:p>
    <w:p>
      <w:pPr>
        <w:pStyle w:val="BodyText"/>
        <w:spacing w:line="169" w:lineRule="exact"/>
        <w:ind w:left="377"/>
      </w:pP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133617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1082pt;width:1.65pt;height:1.65pt;mso-position-horizontal-relative:page;mso-position-vertical-relative:paragraph;z-index:15731200" id="docshape19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John</w:t>
      </w:r>
      <w:r>
        <w:rPr>
          <w:color w:val="6E6158"/>
          <w:spacing w:val="8"/>
        </w:rPr>
        <w:t> </w:t>
      </w:r>
      <w:r>
        <w:rPr>
          <w:color w:val="6E6158"/>
        </w:rPr>
        <w:t>J.</w:t>
      </w:r>
      <w:r>
        <w:rPr>
          <w:color w:val="6E6158"/>
          <w:spacing w:val="9"/>
        </w:rPr>
        <w:t> </w:t>
      </w:r>
      <w:r>
        <w:rPr>
          <w:color w:val="6E6158"/>
        </w:rPr>
        <w:t>Ross</w:t>
      </w:r>
      <w:r>
        <w:rPr>
          <w:color w:val="6E6158"/>
          <w:spacing w:val="8"/>
        </w:rPr>
        <w:t> </w:t>
      </w:r>
      <w:r>
        <w:rPr>
          <w:color w:val="6E6158"/>
        </w:rPr>
        <w:t>Award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excellence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77" w:right="75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619132</wp:posOffset>
                </wp:positionH>
                <wp:positionV relativeFrom="paragraph">
                  <wp:posOffset>532980</wp:posOffset>
                </wp:positionV>
                <wp:extent cx="20955" cy="2095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1.966969pt;width:1.65pt;height:1.65pt;mso-position-horizontal-relative:page;mso-position-vertical-relative:paragraph;z-index:-15728128;mso-wrap-distance-left:0;mso-wrap-distance-right:0" id="docshape20" coordorigin="975,839" coordsize="33,33" path="m996,872l987,872,983,870,977,864,975,860,975,851,977,847,983,841,987,839,996,839,1000,841,1006,847,1008,851,1008,856,1008,860,1006,864,1000,870,996,87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23457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47065pt;width:1.65pt;height:1.65pt;mso-position-horizontal-relative:page;mso-position-vertical-relative:paragraph;z-index:15731712" id="docshape21" coordorigin="975,37" coordsize="33,33" path="m996,69l987,69,983,68,977,62,975,58,975,49,977,45,983,39,987,37,996,37,1000,39,1006,45,1008,49,1008,53,1008,58,1006,62,1000,68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281823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90813pt;width:1.65pt;height:1.65pt;mso-position-horizontal-relative:page;mso-position-vertical-relative:paragraph;z-index:15732224" id="docshape22" coordorigin="975,444" coordsize="33,33" path="m996,476l987,476,983,475,977,468,975,465,975,456,977,452,983,445,987,444,996,444,1000,445,1006,452,1008,456,1008,460,1008,465,1006,468,1000,475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CARES Act </w:t>
      </w:r>
      <w:r>
        <w:rPr>
          <w:color w:val="6E6158"/>
        </w:rPr>
        <w:t>Compliance Business &amp; Finance</w:t>
      </w:r>
    </w:p>
    <w:p>
      <w:pPr>
        <w:pStyle w:val="BodyText"/>
        <w:spacing w:line="174" w:lineRule="exact"/>
        <w:ind w:left="377"/>
      </w:pPr>
      <w:r>
        <w:rPr>
          <w:color w:val="6E6158"/>
        </w:rPr>
        <w:t>Emerging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4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Technologies</w:t>
      </w:r>
    </w:p>
    <w:p>
      <w:pPr>
        <w:pStyle w:val="BodyText"/>
        <w:spacing w:after="0" w:line="174" w:lineRule="exact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3248" id="docshape23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133998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053pt;width:1.65pt;height:1.65pt;mso-position-horizontal-relative:page;mso-position-vertical-relative:paragraph;z-index:15733760" id="docshape2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Heading1"/>
        <w:spacing w:before="22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377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116798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6706pt;width:1.65pt;height:1.65pt;mso-position-horizontal-relative:page;mso-position-vertical-relative:paragraph;z-index:15734272" id="docshape25" coordorigin="975,184" coordsize="33,33" path="m996,216l987,216,983,215,977,209,975,205,975,196,977,192,983,186,987,184,996,184,1000,186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third largest manufacturer of antifreeze in the United States in a $100 million equity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transaction.</w:t>
      </w:r>
    </w:p>
    <w:p>
      <w:pPr>
        <w:pStyle w:val="BodyText"/>
        <w:spacing w:line="420" w:lineRule="auto" w:before="123"/>
        <w:ind w:left="377" w:right="20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101735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0679pt;width:1.65pt;height:1.65pt;mso-position-horizontal-relative:page;mso-position-vertical-relative:paragraph;z-index:15734784" id="docshape26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360101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354429pt;width:1.65pt;height:1.65pt;mso-position-horizontal-relative:page;mso-position-vertical-relative:paragraph;z-index:15735296" id="docshape27" coordorigin="975,567" coordsize="33,33" path="m996,600l987,600,983,598,977,592,975,588,975,579,977,575,983,569,987,567,996,567,1000,569,1006,575,1008,579,1008,583,1008,588,1006,592,1000,598,996,6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pool supply manufacturing company in a sale of assets to a strategic </w:t>
      </w:r>
      <w:r>
        <w:rPr>
          <w:color w:val="6E6158"/>
        </w:rPr>
        <w:t>buyer. Represented global produce fruit distributor in a sale of assets to a strategic buyer.</w:t>
      </w:r>
    </w:p>
    <w:p>
      <w:pPr>
        <w:pStyle w:val="BodyText"/>
        <w:spacing w:before="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27788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88085pt;width:1.65pt;height:1.65pt;mso-position-horizontal-relative:page;mso-position-vertical-relative:paragraph;z-index:15735808" id="docshape28" coordorigin="975,44" coordsize="33,33" path="m996,76l987,76,983,75,977,68,975,65,975,56,977,52,983,45,987,44,996,44,1000,45,1006,52,1008,56,1008,60,1008,65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other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M&amp;A</w:t>
      </w:r>
      <w:r>
        <w:rPr>
          <w:color w:val="6E6158"/>
          <w:spacing w:val="14"/>
        </w:rPr>
        <w:t> </w:t>
      </w:r>
      <w:r>
        <w:rPr>
          <w:color w:val="6E6158"/>
        </w:rPr>
        <w:t>transactions,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both</w:t>
      </w:r>
      <w:r>
        <w:rPr>
          <w:color w:val="6E6158"/>
          <w:spacing w:val="14"/>
        </w:rPr>
        <w:t> </w:t>
      </w:r>
      <w:r>
        <w:rPr>
          <w:color w:val="6E6158"/>
        </w:rPr>
        <w:t>buy-side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sell-</w:t>
      </w:r>
      <w:r>
        <w:rPr>
          <w:color w:val="6E6158"/>
          <w:spacing w:val="-2"/>
        </w:rPr>
        <w:t>side.</w:t>
      </w:r>
    </w:p>
    <w:p>
      <w:pPr>
        <w:pStyle w:val="BodyText"/>
        <w:spacing w:line="292" w:lineRule="auto" w:before="174"/>
        <w:ind w:left="377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133783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4129pt;width:1.65pt;height:1.65pt;mso-position-horizontal-relative:page;mso-position-vertical-relative:paragraph;z-index:15736320" id="docshape29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New York based investment management software firm in a $50 million sale to a strategic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buyer.</w:t>
      </w:r>
    </w:p>
    <w:p>
      <w:pPr>
        <w:pStyle w:val="BodyText"/>
        <w:spacing w:line="302" w:lineRule="auto" w:before="123"/>
        <w:ind w:left="377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101575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8103pt;width:1.65pt;height:1.65pt;mso-position-horizontal-relative:page;mso-position-vertical-relative:paragraph;z-index:15736832" id="docshape30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Arizona-based construction company in several asset acquisitions totaling in aggregate </w:t>
      </w:r>
      <w:r>
        <w:rPr>
          <w:color w:val="6E6158"/>
        </w:rPr>
        <w:t>$200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million.</w:t>
      </w:r>
    </w:p>
    <w:p>
      <w:pPr>
        <w:pStyle w:val="BodyText"/>
        <w:spacing w:line="292" w:lineRule="auto" w:before="113"/>
        <w:ind w:left="377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95086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87134pt;width:1.65pt;height:1.65pt;mso-position-horizontal-relative:page;mso-position-vertical-relative:paragraph;z-index:15737344" id="docshape31" coordorigin="975,150" coordsize="33,33" path="m996,182l987,182,983,181,977,174,975,171,975,162,977,158,983,151,987,150,996,150,1000,151,1006,158,1008,162,1008,166,1008,171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multi-billion dollar public Japanese corporation in a $200 million equity acquisition of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Canadian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company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subsequent</w:t>
      </w:r>
      <w:r>
        <w:rPr>
          <w:color w:val="6E6158"/>
          <w:spacing w:val="40"/>
        </w:rPr>
        <w:t> </w:t>
      </w:r>
      <w:r>
        <w:rPr>
          <w:color w:val="6E6158"/>
        </w:rPr>
        <w:t>cross-border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reorganization.</w:t>
      </w:r>
    </w:p>
    <w:p>
      <w:pPr>
        <w:pStyle w:val="BodyText"/>
        <w:spacing w:before="131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106781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7983pt;width:1.65pt;height:1.65pt;mso-position-horizontal-relative:page;mso-position-vertical-relative:paragraph;z-index:15737856" id="docshape32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an</w:t>
      </w:r>
      <w:r>
        <w:rPr>
          <w:color w:val="6E6158"/>
          <w:spacing w:val="16"/>
        </w:rPr>
        <w:t> </w:t>
      </w:r>
      <w:r>
        <w:rPr>
          <w:color w:val="6E6158"/>
        </w:rPr>
        <w:t>Arizona-based</w:t>
      </w:r>
      <w:r>
        <w:rPr>
          <w:color w:val="6E6158"/>
          <w:spacing w:val="15"/>
        </w:rPr>
        <w:t> </w:t>
      </w:r>
      <w:r>
        <w:rPr>
          <w:color w:val="6E6158"/>
        </w:rPr>
        <w:t>manufacturer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roof</w:t>
      </w:r>
      <w:r>
        <w:rPr>
          <w:color w:val="6E6158"/>
          <w:spacing w:val="16"/>
        </w:rPr>
        <w:t> </w:t>
      </w:r>
      <w:r>
        <w:rPr>
          <w:color w:val="6E6158"/>
        </w:rPr>
        <w:t>flashing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plastic</w:t>
      </w:r>
      <w:r>
        <w:rPr>
          <w:color w:val="6E6158"/>
          <w:spacing w:val="15"/>
        </w:rPr>
        <w:t> </w:t>
      </w:r>
      <w:r>
        <w:rPr>
          <w:color w:val="6E6158"/>
        </w:rPr>
        <w:t>weather-blocking</w:t>
      </w:r>
      <w:r>
        <w:rPr>
          <w:color w:val="6E6158"/>
          <w:spacing w:val="16"/>
        </w:rPr>
        <w:t> </w:t>
      </w:r>
      <w:r>
        <w:rPr>
          <w:color w:val="6E6158"/>
        </w:rPr>
        <w:t>products,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  <w:spacing w:val="-12"/>
        </w:rPr>
        <w:t>a</w:t>
      </w:r>
    </w:p>
    <w:p>
      <w:pPr>
        <w:pStyle w:val="BodyText"/>
        <w:spacing w:before="52"/>
        <w:ind w:left="377"/>
      </w:pPr>
      <w:r>
        <w:rPr>
          <w:color w:val="6E6158"/>
        </w:rPr>
        <w:t>$100</w:t>
      </w:r>
      <w:r>
        <w:rPr>
          <w:color w:val="6E6158"/>
          <w:spacing w:val="9"/>
        </w:rPr>
        <w:t> </w:t>
      </w:r>
      <w:r>
        <w:rPr>
          <w:color w:val="6E6158"/>
        </w:rPr>
        <w:t>million</w:t>
      </w:r>
      <w:r>
        <w:rPr>
          <w:color w:val="6E6158"/>
          <w:spacing w:val="10"/>
        </w:rPr>
        <w:t> </w:t>
      </w:r>
      <w:r>
        <w:rPr>
          <w:color w:val="6E6158"/>
        </w:rPr>
        <w:t>equity</w:t>
      </w:r>
      <w:r>
        <w:rPr>
          <w:color w:val="6E6158"/>
          <w:spacing w:val="10"/>
        </w:rPr>
        <w:t> </w:t>
      </w:r>
      <w:r>
        <w:rPr>
          <w:color w:val="6E6158"/>
        </w:rPr>
        <w:t>sale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private</w:t>
      </w:r>
      <w:r>
        <w:rPr>
          <w:color w:val="6E6158"/>
          <w:spacing w:val="9"/>
        </w:rPr>
        <w:t> </w:t>
      </w:r>
      <w:r>
        <w:rPr>
          <w:color w:val="6E6158"/>
        </w:rPr>
        <w:t>equity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buyer.</w:t>
      </w:r>
    </w:p>
    <w:p>
      <w:pPr>
        <w:pStyle w:val="BodyText"/>
        <w:spacing w:line="422" w:lineRule="auto" w:before="174"/>
        <w:ind w:left="377" w:right="10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619132</wp:posOffset>
                </wp:positionH>
                <wp:positionV relativeFrom="paragraph">
                  <wp:posOffset>906778</wp:posOffset>
                </wp:positionV>
                <wp:extent cx="20955" cy="2095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1.399879pt;width:1.65pt;height:1.65pt;mso-position-horizontal-relative:page;mso-position-vertical-relative:paragraph;z-index:-15724544;mso-wrap-distance-left:0;mso-wrap-distance-right:0" id="docshape33" coordorigin="975,1428" coordsize="33,33" path="m996,1461l987,1461,983,1459,977,1453,975,1449,975,1440,977,1436,983,1430,987,1428,996,1428,1000,1430,1006,1436,1008,1440,1008,1444,1008,1449,1006,1453,1000,1459,996,1461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133946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6947pt;width:1.65pt;height:1.65pt;mso-position-horizontal-relative:page;mso-position-vertical-relative:paragraph;z-index:15738368" id="docshape34" coordorigin="975,211" coordsize="33,33" path="m996,243l987,243,983,242,977,236,975,232,975,223,977,219,983,213,987,211,996,211,1000,213,1006,219,1008,223,1008,227,1008,232,1006,236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392311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90696pt;width:1.65pt;height:1.65pt;mso-position-horizontal-relative:page;mso-position-vertical-relative:paragraph;z-index:15738880" id="docshape35" coordorigin="975,618" coordsize="33,33" path="m996,650l987,650,983,649,977,642,975,639,975,630,977,626,983,619,987,618,996,618,1000,619,1006,626,1008,630,1008,634,1008,639,1006,642,1000,649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655844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1.641319pt;width:1.65pt;height:1.65pt;mso-position-horizontal-relative:page;mso-position-vertical-relative:paragraph;z-index:15739392" id="docshape36" coordorigin="975,1033" coordsize="33,33" path="m996,1065l987,1065,983,1064,977,1057,975,1054,975,1045,977,1041,983,1034,987,1033,996,1033,1000,1034,1006,1041,1008,1045,1008,1049,1008,1054,1006,1057,1000,1064,996,10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several venture capital firms in financings and convertible debt investments.</w:t>
      </w:r>
      <w:r>
        <w:rPr>
          <w:color w:val="6E6158"/>
          <w:spacing w:val="40"/>
        </w:rPr>
        <w:t> </w:t>
      </w:r>
      <w:r>
        <w:rPr>
          <w:color w:val="6E6158"/>
        </w:rPr>
        <w:t>Represented several staffing companies in equity and asset sales totaling more than $300 </w:t>
      </w:r>
      <w:r>
        <w:rPr>
          <w:color w:val="6E6158"/>
        </w:rPr>
        <w:t>million.</w:t>
      </w:r>
      <w:r>
        <w:rPr>
          <w:color w:val="6E6158"/>
          <w:spacing w:val="40"/>
        </w:rPr>
        <w:t> </w:t>
      </w:r>
      <w:r>
        <w:rPr>
          <w:color w:val="6E6158"/>
        </w:rPr>
        <w:t>Represented</w:t>
      </w:r>
      <w:r>
        <w:rPr>
          <w:color w:val="6E6158"/>
          <w:spacing w:val="38"/>
        </w:rPr>
        <w:t> </w:t>
      </w:r>
      <w:r>
        <w:rPr>
          <w:color w:val="6E6158"/>
        </w:rPr>
        <w:t>Phoenix-based</w:t>
      </w:r>
      <w:r>
        <w:rPr>
          <w:color w:val="6E6158"/>
          <w:spacing w:val="38"/>
        </w:rPr>
        <w:t> </w:t>
      </w:r>
      <w:r>
        <w:rPr>
          <w:color w:val="6E6158"/>
        </w:rPr>
        <w:t>software</w:t>
      </w:r>
      <w:r>
        <w:rPr>
          <w:color w:val="6E6158"/>
          <w:spacing w:val="38"/>
        </w:rPr>
        <w:t> </w:t>
      </w:r>
      <w:r>
        <w:rPr>
          <w:color w:val="6E6158"/>
        </w:rPr>
        <w:t>company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a</w:t>
      </w:r>
      <w:r>
        <w:rPr>
          <w:color w:val="6E6158"/>
          <w:spacing w:val="38"/>
        </w:rPr>
        <w:t> </w:t>
      </w:r>
      <w:r>
        <w:rPr>
          <w:color w:val="6E6158"/>
        </w:rPr>
        <w:t>$20</w:t>
      </w:r>
      <w:r>
        <w:rPr>
          <w:color w:val="6E6158"/>
          <w:spacing w:val="38"/>
        </w:rPr>
        <w:t> </w:t>
      </w:r>
      <w:r>
        <w:rPr>
          <w:color w:val="6E6158"/>
        </w:rPr>
        <w:t>million</w:t>
      </w:r>
      <w:r>
        <w:rPr>
          <w:color w:val="6E6158"/>
          <w:spacing w:val="38"/>
        </w:rPr>
        <w:t> </w:t>
      </w:r>
      <w:r>
        <w:rPr>
          <w:color w:val="6E6158"/>
        </w:rPr>
        <w:t>preferred</w:t>
      </w:r>
      <w:r>
        <w:rPr>
          <w:color w:val="6E6158"/>
          <w:spacing w:val="38"/>
        </w:rPr>
        <w:t> </w:t>
      </w:r>
      <w:r>
        <w:rPr>
          <w:color w:val="6E6158"/>
        </w:rPr>
        <w:t>stock</w:t>
      </w:r>
      <w:r>
        <w:rPr>
          <w:color w:val="6E6158"/>
          <w:spacing w:val="38"/>
        </w:rPr>
        <w:t> </w:t>
      </w:r>
      <w:r>
        <w:rPr>
          <w:color w:val="6E6158"/>
        </w:rPr>
        <w:t>investment.</w:t>
      </w:r>
    </w:p>
    <w:p>
      <w:pPr>
        <w:pStyle w:val="BodyText"/>
        <w:spacing w:line="175" w:lineRule="exact"/>
        <w:ind w:left="377"/>
      </w:pP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Arizona-based</w:t>
      </w:r>
      <w:r>
        <w:rPr>
          <w:color w:val="6E6158"/>
          <w:spacing w:val="13"/>
        </w:rPr>
        <w:t> </w:t>
      </w:r>
      <w:r>
        <w:rPr>
          <w:color w:val="6E6158"/>
        </w:rPr>
        <w:t>road</w:t>
      </w:r>
      <w:r>
        <w:rPr>
          <w:color w:val="6E6158"/>
          <w:spacing w:val="13"/>
        </w:rPr>
        <w:t> </w:t>
      </w:r>
      <w:r>
        <w:rPr>
          <w:color w:val="6E6158"/>
        </w:rPr>
        <w:t>safety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3"/>
        </w:rPr>
        <w:t> </w:t>
      </w:r>
      <w:r>
        <w:rPr>
          <w:color w:val="6E6158"/>
        </w:rPr>
        <w:t>company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$10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4"/>
        </w:rPr>
        <w:t> </w:t>
      </w:r>
      <w:r>
        <w:rPr>
          <w:color w:val="6E6158"/>
        </w:rPr>
        <w:t>equity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sale.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133617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1099pt;width:1.65pt;height:1.65pt;mso-position-horizontal-relative:page;mso-position-vertical-relative:paragraph;z-index:15739904" id="docshape37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several</w:t>
      </w:r>
      <w:r>
        <w:rPr>
          <w:color w:val="6E6158"/>
          <w:spacing w:val="12"/>
        </w:rPr>
        <w:t> </w:t>
      </w:r>
      <w:r>
        <w:rPr>
          <w:color w:val="6E6158"/>
        </w:rPr>
        <w:t>fire-safety</w:t>
      </w:r>
      <w:r>
        <w:rPr>
          <w:color w:val="6E6158"/>
          <w:spacing w:val="12"/>
        </w:rPr>
        <w:t> </w:t>
      </w:r>
      <w:r>
        <w:rPr>
          <w:color w:val="6E6158"/>
        </w:rPr>
        <w:t>services</w:t>
      </w:r>
      <w:r>
        <w:rPr>
          <w:color w:val="6E6158"/>
          <w:spacing w:val="13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equity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asset</w:t>
      </w:r>
      <w:r>
        <w:rPr>
          <w:color w:val="6E6158"/>
          <w:spacing w:val="12"/>
        </w:rPr>
        <w:t> </w:t>
      </w:r>
      <w:r>
        <w:rPr>
          <w:color w:val="6E6158"/>
        </w:rPr>
        <w:t>sales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single</w:t>
      </w:r>
      <w:r>
        <w:rPr>
          <w:color w:val="6E6158"/>
          <w:spacing w:val="12"/>
        </w:rPr>
        <w:t> </w:t>
      </w:r>
      <w:r>
        <w:rPr>
          <w:color w:val="6E6158"/>
        </w:rPr>
        <w:t>private</w:t>
      </w:r>
      <w:r>
        <w:rPr>
          <w:color w:val="6E6158"/>
          <w:spacing w:val="12"/>
        </w:rPr>
        <w:t> </w:t>
      </w:r>
      <w:r>
        <w:rPr>
          <w:color w:val="6E6158"/>
        </w:rPr>
        <w:t>equity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buyer.</w:t>
      </w:r>
    </w:p>
    <w:p>
      <w:pPr>
        <w:pStyle w:val="BodyText"/>
        <w:spacing w:line="302" w:lineRule="auto" w:before="174"/>
        <w:ind w:left="377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133567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7143pt;width:1.65pt;height:1.65pt;mso-position-horizontal-relative:page;mso-position-vertical-relative:paragraph;z-index:15740416" id="docshape38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several insurance brokerages in asset and equity sales to various strategic buyers totaling more</w:t>
      </w:r>
      <w:r>
        <w:rPr>
          <w:color w:val="6E6158"/>
          <w:spacing w:val="80"/>
        </w:rPr>
        <w:t> </w:t>
      </w:r>
      <w:r>
        <w:rPr>
          <w:color w:val="6E6158"/>
        </w:rPr>
        <w:t>than $200 million.</w:t>
      </w:r>
    </w:p>
    <w:p>
      <w:pPr>
        <w:pStyle w:val="BodyText"/>
        <w:spacing w:before="11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94693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56175pt;width:1.65pt;height:1.65pt;mso-position-horizontal-relative:page;mso-position-vertical-relative:paragraph;z-index:15740928" id="docshape39" coordorigin="975,149" coordsize="33,33" path="m996,182l987,182,983,180,977,174,975,170,975,161,977,157,983,151,987,149,996,149,1000,151,1006,157,1008,161,1008,165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residential</w:t>
      </w:r>
      <w:r>
        <w:rPr>
          <w:color w:val="6E6158"/>
          <w:spacing w:val="15"/>
        </w:rPr>
        <w:t> </w:t>
      </w:r>
      <w:r>
        <w:rPr>
          <w:color w:val="6E6158"/>
        </w:rPr>
        <w:t>home-builder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$50</w:t>
      </w:r>
      <w:r>
        <w:rPr>
          <w:color w:val="6E6158"/>
          <w:spacing w:val="14"/>
        </w:rPr>
        <w:t> </w:t>
      </w:r>
      <w:r>
        <w:rPr>
          <w:color w:val="6E6158"/>
        </w:rPr>
        <w:t>million</w:t>
      </w:r>
      <w:r>
        <w:rPr>
          <w:color w:val="6E6158"/>
          <w:spacing w:val="15"/>
        </w:rPr>
        <w:t> </w:t>
      </w:r>
      <w:r>
        <w:rPr>
          <w:color w:val="6E6158"/>
        </w:rPr>
        <w:t>asset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acquisition.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134013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2219pt;width:1.65pt;height:1.65pt;mso-position-horizontal-relative:page;mso-position-vertical-relative:paragraph;z-index:15741440" id="docshape40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other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M&amp;A</w:t>
      </w:r>
      <w:r>
        <w:rPr>
          <w:color w:val="6E6158"/>
          <w:spacing w:val="14"/>
        </w:rPr>
        <w:t> </w:t>
      </w:r>
      <w:r>
        <w:rPr>
          <w:color w:val="6E6158"/>
        </w:rPr>
        <w:t>transactions,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both</w:t>
      </w:r>
      <w:r>
        <w:rPr>
          <w:color w:val="6E6158"/>
          <w:spacing w:val="14"/>
        </w:rPr>
        <w:t> </w:t>
      </w:r>
      <w:r>
        <w:rPr>
          <w:color w:val="6E6158"/>
        </w:rPr>
        <w:t>buy-side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sell-</w:t>
      </w:r>
      <w:r>
        <w:rPr>
          <w:color w:val="6E6158"/>
          <w:spacing w:val="-2"/>
        </w:rPr>
        <w:t>side.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left="377" w:right="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121768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88106pt;width:1.65pt;height:1.65pt;mso-position-horizontal-relative:page;mso-position-vertical-relative:paragraph;z-index:15741952" id="docshape41" coordorigin="975,192" coordsize="33,33" path="m996,224l987,224,983,223,977,216,975,213,975,204,977,200,983,193,987,192,996,192,1000,193,1006,200,1008,204,1008,208,1008,213,1006,216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“SBA Provides Much-Needed Safe-Harbor for PPP Loans Under $2 Million,” Fennemore Client </w:t>
        </w:r>
        <w:r>
          <w:rPr>
            <w:color w:val="FF8100"/>
          </w:rPr>
          <w:t>Alert,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</w:rPr>
          <w:t>May 15, 2020</w:t>
        </w:r>
      </w:hyperlink>
    </w:p>
    <w:p>
      <w:pPr>
        <w:pStyle w:val="BodyText"/>
        <w:spacing w:line="292" w:lineRule="auto"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101626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2080pt;width:1.65pt;height:1.65pt;mso-position-horizontal-relative:page;mso-position-vertical-relative:paragraph;z-index:15742464" id="docshape42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You Need to Know About The CARES Act,” The Catholic Community Foundation Professional</w:t>
      </w:r>
      <w:r>
        <w:rPr>
          <w:color w:val="6E6158"/>
          <w:spacing w:val="40"/>
        </w:rPr>
        <w:t> </w:t>
      </w:r>
      <w:r>
        <w:rPr>
          <w:color w:val="6E6158"/>
        </w:rPr>
        <w:t>Advisory Board, May 7, 2020</w:t>
      </w:r>
    </w:p>
    <w:p>
      <w:pPr>
        <w:pStyle w:val="BodyText"/>
        <w:spacing w:line="292" w:lineRule="auto" w:before="132"/>
        <w:ind w:left="377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106971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22928pt;width:1.65pt;height:1.65pt;mso-position-horizontal-relative:page;mso-position-vertical-relative:paragraph;z-index:15742976" id="docshape43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“The Small Business Association Tightens Loophole that Allowed Public Companies to </w:t>
        </w:r>
        <w:r>
          <w:rPr>
            <w:color w:val="FF8100"/>
          </w:rPr>
          <w:t>Receive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CARES Act Funding,” Fennemore Client Alert, April 24, 2020</w:t>
        </w:r>
      </w:hyperlink>
    </w:p>
    <w:p>
      <w:pPr>
        <w:spacing w:line="283" w:lineRule="auto" w:before="123"/>
        <w:ind w:left="377" w:right="43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101433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6901pt;width:1.65pt;height:1.65pt;mso-position-horizontal-relative:page;mso-position-vertical-relative:paragraph;z-index:15743488" id="docshape44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  <w:sz w:val="19"/>
          </w:rPr>
          <w:t>Co-author, “The Pull of Delaware: How Judges Have Undermined Nevada’s Efforts to Develop its Own</w:t>
        </w:r>
      </w:hyperlink>
      <w:r>
        <w:rPr>
          <w:color w:val="FF8100"/>
          <w:spacing w:val="40"/>
          <w:sz w:val="19"/>
        </w:rPr>
        <w:t> </w:t>
      </w:r>
      <w:hyperlink r:id="rId13">
        <w:r>
          <w:rPr>
            <w:color w:val="FF8100"/>
            <w:sz w:val="19"/>
          </w:rPr>
          <w:t>Corporate Law,”</w:t>
        </w:r>
      </w:hyperlink>
      <w:r>
        <w:rPr>
          <w:color w:val="FF8100"/>
          <w:sz w:val="19"/>
        </w:rPr>
        <w:t> </w:t>
      </w:r>
      <w:hyperlink r:id="rId13">
        <w:r>
          <w:rPr>
            <w:i/>
            <w:color w:val="FF8100"/>
            <w:sz w:val="20"/>
          </w:rPr>
          <w:t>Nevada Law Journal, 20 Nev. L.J. 401</w:t>
        </w:r>
      </w:hyperlink>
      <w:hyperlink r:id="rId13">
        <w:r>
          <w:rPr>
            <w:color w:val="FF8100"/>
            <w:sz w:val="19"/>
          </w:rPr>
          <w:t>, April 2020</w:t>
        </w:r>
      </w:hyperlink>
    </w:p>
    <w:p>
      <w:pPr>
        <w:pStyle w:val="BodyText"/>
        <w:spacing w:line="420" w:lineRule="auto" w:before="136"/>
        <w:ind w:left="377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109425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616182pt;width:1.65pt;height:1.65pt;mso-position-horizontal-relative:page;mso-position-vertical-relative:paragraph;z-index:15744000" id="docshape45" coordorigin="975,172" coordsize="33,33" path="m996,205l987,205,983,203,977,197,975,193,975,184,977,180,983,174,987,172,996,172,1000,174,1006,180,1008,184,1008,189,1008,193,1006,197,1000,203,996,2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367791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959932pt;width:1.65pt;height:1.65pt;mso-position-horizontal-relative:page;mso-position-vertical-relative:paragraph;z-index:15744512" id="docshape46" coordorigin="975,579" coordsize="33,33" path="m996,612l987,612,983,610,977,604,975,600,975,591,977,587,983,581,987,579,996,579,1000,581,1006,587,1008,591,1008,595,1008,600,1006,604,1000,610,996,6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“The Federal Reserve’s Main Street Lending Program,” Fennemore Client Alert, April 21, </w:t>
        </w:r>
        <w:r>
          <w:rPr>
            <w:color w:val="FF8100"/>
          </w:rPr>
          <w:t>2020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Speaker, “The CARES Act – What You Need to Know Now,” Arizona Nonprofits, April 2, 2020</w:t>
      </w:r>
    </w:p>
    <w:p>
      <w:pPr>
        <w:pStyle w:val="BodyText"/>
        <w:spacing w:line="292" w:lineRule="auto"/>
        <w:ind w:left="377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22056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36713pt;width:1.65pt;height:1.65pt;mso-position-horizontal-relative:page;mso-position-vertical-relative:paragraph;z-index:15745024" id="docshape47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“IRS and the Arizona Department of Revenue Extend Tax Filing Deadlines to July 15,” Fennemore</w:t>
        </w:r>
      </w:hyperlink>
      <w:r>
        <w:rPr>
          <w:color w:val="FF8100"/>
          <w:spacing w:val="40"/>
        </w:rPr>
        <w:t> </w:t>
      </w:r>
      <w:hyperlink r:id="rId15">
        <w:r>
          <w:rPr>
            <w:color w:val="FF8100"/>
          </w:rPr>
          <w:t>Client Alert, March 26, 2020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720" w:right="72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073pt;width:1.65pt;height:1.65pt;mso-position-horizontal-relative:page;mso-position-vertical-relative:paragraph;z-index:15745536" id="docshape48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lawrence@fennemorelaw.com" TargetMode="External"/><Relationship Id="rId11" Type="http://schemas.openxmlformats.org/officeDocument/2006/relationships/hyperlink" Target="https://www.fennemorelaw.com/insights/newsletters/2020/sba-provides-much-needed-safe-harbor-for-ppp-loans-under-2-million" TargetMode="External"/><Relationship Id="rId12" Type="http://schemas.openxmlformats.org/officeDocument/2006/relationships/hyperlink" Target="https://www.fennemorelaw.com/insights/newsletters/2020/the-small-business-association-tightens-loophole-that-allowed-public-companies-to-receive-cares-act-funding" TargetMode="External"/><Relationship Id="rId13" Type="http://schemas.openxmlformats.org/officeDocument/2006/relationships/hyperlink" Target="https://scholars.law.unlv.edu/cgi/viewcontent.cgi?article=1811&amp;context=nlj" TargetMode="External"/><Relationship Id="rId14" Type="http://schemas.openxmlformats.org/officeDocument/2006/relationships/hyperlink" Target="https://www.fennemorelaw.com/insights/newsletters/2020/the-federal-reserve-s-main-street-lending-program" TargetMode="External"/><Relationship Id="rId15" Type="http://schemas.openxmlformats.org/officeDocument/2006/relationships/hyperlink" Target="https://www.fennemorelaw.com/insights/newsletters/2020/irs-and-the-arizona-department-of-revenue-extend-tax-filing-deadlines-to-july-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2024-11-12T12:24:05Z</dcterms:created>
  <dcterms:modified xsi:type="dcterms:W3CDTF">2024-11-12T12:24:05Z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