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2"/>
        <w:ind w:left="0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-3231008</wp:posOffset>
                </wp:positionV>
                <wp:extent cx="6955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3162935"/>
                          <a:chExt cx="6955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460440" y="763308"/>
                            <a:ext cx="152463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 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MCGREGOR</w:t>
                              </w:r>
                            </w:p>
                            <w:p>
                              <w:pPr>
                                <w:spacing w:before="48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Tax</w:t>
                                </w:r>
                                <w:r>
                                  <w:rPr>
                                    <w:color w:val="FFFFFF"/>
                                    <w:spacing w:val="-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Law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056941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559.753.2802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15064" y="2500373"/>
                            <a:ext cx="16154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jmcgregor@fennemorelaw.com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54.410156pt;width:547.7pt;height:249.05pt;mso-position-horizontal-relative:page;mso-position-vertical-relative:paragraph;z-index:15728640" id="docshapegroup1" coordorigin="641,-5088" coordsize="10954,4981">
                <v:shape style="position:absolute;left:641;top:-5089;width:2165;height:424" type="#_x0000_t75" id="docshape2" href="https://www.fennemorelaw.com/" stroked="false">
                  <v:imagedata r:id="rId5" o:title=""/>
                </v:shape>
                <v:shape style="position:absolute;left:641;top:-4666;width:5477;height:4557" type="#_x0000_t75" id="docshape3" stroked="false">
                  <v:imagedata r:id="rId7" o:title=""/>
                </v:shape>
                <v:rect style="position:absolute;left:6117;top:-4666;width:5477;height:4557" id="docshape4" filled="true" fillcolor="#262424" stroked="false">
                  <v:fill type="solid"/>
                </v:rect>
                <v:shape style="position:absolute;left:7192;top:-2501;width:3337;height:505" id="docshape5" coordorigin="7192,-2500" coordsize="3337,505" path="m10528,-2004l7192,-2004,7192,-1996,10528,-1996,10528,-2004xm10528,-2500l7192,-2500,7192,-2492,10528,-2492,10528,-2500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65;top:-3887;width:2401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 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MCGREGOR</w:t>
                        </w:r>
                      </w:p>
                      <w:p>
                        <w:pPr>
                          <w:spacing w:before="48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Tax</w:t>
                          </w:r>
                          <w:r>
                            <w:rPr>
                              <w:color w:val="FFFFFF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Law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605;top:-1729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147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559.753.2802</w:t>
                        </w:r>
                      </w:p>
                    </w:txbxContent>
                  </v:textbox>
                  <w10:wrap type="none"/>
                </v:shape>
                <v:shape style="position:absolute;left:9305;top:-147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594;top:-1151;width:254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jmcgregor@fennemorelaw.com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JOHN</w:t>
      </w:r>
      <w:r>
        <w:rPr>
          <w:color w:val="FF8100"/>
          <w:spacing w:val="5"/>
        </w:rPr>
        <w:t> </w:t>
      </w:r>
      <w:r>
        <w:rPr>
          <w:color w:val="FF8100"/>
        </w:rPr>
        <w:t>J.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MCGREGOR</w:t>
      </w:r>
    </w:p>
    <w:p>
      <w:pPr>
        <w:pStyle w:val="BodyText"/>
        <w:spacing w:line="297" w:lineRule="auto" w:before="147"/>
        <w:ind w:left="124" w:right="178"/>
      </w:pPr>
      <w:r>
        <w:rPr>
          <w:color w:val="6E6158"/>
        </w:rPr>
        <w:t>John</w:t>
      </w:r>
      <w:r>
        <w:rPr>
          <w:color w:val="6E6158"/>
          <w:spacing w:val="23"/>
        </w:rPr>
        <w:t> </w:t>
      </w:r>
      <w:r>
        <w:rPr>
          <w:color w:val="6E6158"/>
        </w:rPr>
        <w:t>J.</w:t>
      </w:r>
      <w:r>
        <w:rPr>
          <w:color w:val="6E6158"/>
          <w:spacing w:val="23"/>
        </w:rPr>
        <w:t> </w:t>
      </w:r>
      <w:r>
        <w:rPr>
          <w:color w:val="6E6158"/>
        </w:rPr>
        <w:t>McGregor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an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Counsel</w:t>
      </w:r>
      <w:r>
        <w:rPr>
          <w:color w:val="6E6158"/>
          <w:spacing w:val="23"/>
        </w:rPr>
        <w:t> </w:t>
      </w:r>
      <w:r>
        <w:rPr>
          <w:color w:val="6E6158"/>
        </w:rPr>
        <w:t>attorney</w:t>
      </w:r>
      <w:r>
        <w:rPr>
          <w:color w:val="6E6158"/>
          <w:spacing w:val="23"/>
        </w:rPr>
        <w:t> </w:t>
      </w:r>
      <w:r>
        <w:rPr>
          <w:color w:val="6E6158"/>
        </w:rPr>
        <w:t>who</w:t>
      </w:r>
      <w:r>
        <w:rPr>
          <w:color w:val="6E6158"/>
          <w:spacing w:val="23"/>
        </w:rPr>
        <w:t> </w:t>
      </w:r>
      <w:r>
        <w:rPr>
          <w:color w:val="6E6158"/>
        </w:rPr>
        <w:t>works</w:t>
      </w:r>
      <w:r>
        <w:rPr>
          <w:color w:val="6E6158"/>
          <w:spacing w:val="23"/>
        </w:rPr>
        <w:t> </w:t>
      </w:r>
      <w:r>
        <w:rPr>
          <w:color w:val="6E6158"/>
        </w:rPr>
        <w:t>out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our</w:t>
      </w:r>
      <w:r>
        <w:rPr>
          <w:color w:val="6E6158"/>
          <w:spacing w:val="23"/>
        </w:rPr>
        <w:t> </w:t>
      </w:r>
      <w:r>
        <w:rPr>
          <w:color w:val="6E6158"/>
        </w:rPr>
        <w:t>Fresno</w:t>
      </w:r>
      <w:r>
        <w:rPr>
          <w:color w:val="6E6158"/>
          <w:spacing w:val="23"/>
        </w:rPr>
        <w:t> </w:t>
      </w:r>
      <w:r>
        <w:rPr>
          <w:color w:val="6E6158"/>
        </w:rPr>
        <w:t>office.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seasoned</w:t>
      </w:r>
      <w:r>
        <w:rPr>
          <w:color w:val="6E6158"/>
          <w:spacing w:val="23"/>
        </w:rPr>
        <w:t> </w:t>
      </w:r>
      <w:r>
        <w:rPr>
          <w:color w:val="6E6158"/>
        </w:rPr>
        <w:t>professional</w:t>
      </w:r>
      <w:r>
        <w:rPr>
          <w:color w:val="6E6158"/>
          <w:spacing w:val="23"/>
        </w:rPr>
        <w:t> </w:t>
      </w:r>
      <w:r>
        <w:rPr>
          <w:color w:val="6E6158"/>
        </w:rPr>
        <w:t>with over 40 years of experience in taxation and business transactions, John is certified as a specialist in Taxation Law</w:t>
      </w:r>
      <w:r>
        <w:rPr>
          <w:color w:val="6E6158"/>
          <w:spacing w:val="80"/>
        </w:rPr>
        <w:t> </w:t>
      </w:r>
      <w:r>
        <w:rPr>
          <w:color w:val="6E6158"/>
        </w:rPr>
        <w:t>by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State</w:t>
      </w:r>
      <w:r>
        <w:rPr>
          <w:color w:val="6E6158"/>
          <w:spacing w:val="27"/>
        </w:rPr>
        <w:t> </w:t>
      </w:r>
      <w:r>
        <w:rPr>
          <w:color w:val="6E6158"/>
        </w:rPr>
        <w:t>Bar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California</w:t>
      </w:r>
      <w:r>
        <w:rPr>
          <w:color w:val="6E6158"/>
          <w:spacing w:val="27"/>
        </w:rPr>
        <w:t> </w:t>
      </w:r>
      <w:r>
        <w:rPr>
          <w:color w:val="6E6158"/>
        </w:rPr>
        <w:t>Board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Legal</w:t>
      </w:r>
      <w:r>
        <w:rPr>
          <w:color w:val="6E6158"/>
          <w:spacing w:val="27"/>
        </w:rPr>
        <w:t> </w:t>
      </w:r>
      <w:r>
        <w:rPr>
          <w:color w:val="6E6158"/>
        </w:rPr>
        <w:t>Specialization.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successfully</w:t>
      </w:r>
      <w:r>
        <w:rPr>
          <w:color w:val="6E6158"/>
          <w:spacing w:val="27"/>
        </w:rPr>
        <w:t> </w:t>
      </w:r>
      <w:r>
        <w:rPr>
          <w:color w:val="6E6158"/>
        </w:rPr>
        <w:t>represented</w:t>
      </w:r>
      <w:r>
        <w:rPr>
          <w:color w:val="6E6158"/>
          <w:spacing w:val="27"/>
        </w:rPr>
        <w:t> </w:t>
      </w:r>
      <w:r>
        <w:rPr>
          <w:color w:val="6E6158"/>
        </w:rPr>
        <w:t>taxpayers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</w:p>
    <w:p>
      <w:pPr>
        <w:pStyle w:val="BodyText"/>
        <w:spacing w:line="292" w:lineRule="auto"/>
        <w:ind w:left="124" w:right="178"/>
      </w:pPr>
      <w:r>
        <w:rPr>
          <w:color w:val="6E6158"/>
        </w:rPr>
        <w:t>income, estate, property, sales and use tax controversies in federal courts and before the Internal Revenue</w:t>
      </w:r>
      <w:r>
        <w:rPr>
          <w:color w:val="6E6158"/>
          <w:spacing w:val="80"/>
        </w:rPr>
        <w:t> </w:t>
      </w:r>
      <w:r>
        <w:rPr>
          <w:color w:val="6E6158"/>
        </w:rPr>
        <w:t>Service,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California</w:t>
      </w:r>
      <w:r>
        <w:rPr>
          <w:color w:val="6E6158"/>
          <w:spacing w:val="33"/>
        </w:rPr>
        <w:t> </w:t>
      </w:r>
      <w:r>
        <w:rPr>
          <w:color w:val="6E6158"/>
        </w:rPr>
        <w:t>Franchise</w:t>
      </w:r>
      <w:r>
        <w:rPr>
          <w:color w:val="6E6158"/>
          <w:spacing w:val="32"/>
        </w:rPr>
        <w:t> </w:t>
      </w:r>
      <w:r>
        <w:rPr>
          <w:color w:val="6E6158"/>
        </w:rPr>
        <w:t>Tax</w:t>
      </w:r>
      <w:r>
        <w:rPr>
          <w:color w:val="6E6158"/>
          <w:spacing w:val="33"/>
        </w:rPr>
        <w:t> </w:t>
      </w:r>
      <w:r>
        <w:rPr>
          <w:color w:val="6E6158"/>
        </w:rPr>
        <w:t>Board,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California</w:t>
      </w:r>
      <w:r>
        <w:rPr>
          <w:color w:val="6E6158"/>
          <w:spacing w:val="33"/>
        </w:rPr>
        <w:t> </w:t>
      </w:r>
      <w:r>
        <w:rPr>
          <w:color w:val="6E6158"/>
        </w:rPr>
        <w:t>Board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Equalization.</w:t>
      </w:r>
    </w:p>
    <w:p>
      <w:pPr>
        <w:pStyle w:val="BodyText"/>
        <w:spacing w:line="292" w:lineRule="auto" w:before="200"/>
        <w:ind w:left="124" w:right="373"/>
      </w:pPr>
      <w:r>
        <w:rPr>
          <w:color w:val="6E6158"/>
        </w:rPr>
        <w:t>Additionally, his tenure as a member and chair of the Fresno County Assessment Appeals Board is a testament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to his knowledge in California property tax disputes.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116435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8156pt;width:1.65pt;height:1.65pt;mso-position-horizontal-relative:page;mso-position-vertical-relative:paragraph;z-index:15729152" id="docshape11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Master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5"/>
        </w:rPr>
        <w:t> </w:t>
      </w:r>
      <w:r>
        <w:rPr>
          <w:color w:val="6E6158"/>
        </w:rPr>
        <w:t>Laws,</w:t>
      </w:r>
      <w:r>
        <w:rPr>
          <w:color w:val="6E6158"/>
          <w:spacing w:val="6"/>
        </w:rPr>
        <w:t> </w:t>
      </w:r>
      <w:r>
        <w:rPr>
          <w:color w:val="6E6158"/>
        </w:rPr>
        <w:t>Taxation,</w:t>
      </w:r>
      <w:r>
        <w:rPr>
          <w:color w:val="6E6158"/>
          <w:spacing w:val="6"/>
        </w:rPr>
        <w:t> </w:t>
      </w:r>
      <w:r>
        <w:rPr>
          <w:color w:val="6E6158"/>
        </w:rPr>
        <w:t>New</w:t>
      </w:r>
      <w:r>
        <w:rPr>
          <w:color w:val="6E6158"/>
          <w:spacing w:val="6"/>
        </w:rPr>
        <w:t> </w:t>
      </w:r>
      <w:r>
        <w:rPr>
          <w:color w:val="6E6158"/>
        </w:rPr>
        <w:t>York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line="420" w:lineRule="auto" w:before="182"/>
        <w:ind w:right="43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138697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21075pt;width:1.65pt;height:1.65pt;mso-position-horizontal-relative:page;mso-position-vertical-relative:paragraph;z-index:15729664" id="docshape12" coordorigin="975,218" coordsize="33,33" path="m996,251l987,251,983,249,977,243,975,239,975,230,977,226,983,220,987,218,996,218,1000,220,1006,226,1008,230,1008,235,1008,239,1006,243,1000,249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397063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1.264824pt;width:1.65pt;height:1.65pt;mso-position-horizontal-relative:page;mso-position-vertical-relative:paragraph;z-index:15730176" id="docshape13" coordorigin="975,625" coordsize="33,33" path="m996,658l987,658,983,656,977,650,975,646,975,637,977,633,983,627,987,625,996,625,1000,627,1006,633,1008,637,1008,642,1008,646,1006,650,1000,656,996,6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College of the Law, San </w:t>
      </w:r>
      <w:r>
        <w:rPr>
          <w:color w:val="6E6158"/>
        </w:rPr>
        <w:t>Francisco</w:t>
      </w:r>
      <w:r>
        <w:rPr>
          <w:color w:val="6E6158"/>
        </w:rPr>
        <w:t> B.A., University of San Francisco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116680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7464pt;width:1.65pt;height:1.65pt;mso-position-horizontal-relative:page;mso-position-vertical-relative:paragraph;z-index:15730688" id="docshape14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 w:before="174"/>
        <w:ind w:right="77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133775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3508pt;width:1.65pt;height:1.65pt;mso-position-horizontal-relative:page;mso-position-vertical-relative:paragraph;z-index:15731200" id="docshape15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397308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1.284132pt;width:1.65pt;height:1.65pt;mso-position-horizontal-relative:page;mso-position-vertical-relative:paragraph;z-index:15731712" id="docshape16" coordorigin="975,626" coordsize="33,33" path="m996,658l987,658,983,657,977,650,975,646,975,637,977,634,983,627,987,626,996,626,1000,627,1006,634,1008,637,1008,642,1008,646,1006,650,1000,657,996,6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6"/>
        <w:ind w:right="25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116305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7909pt;width:1.65pt;height:1.65pt;mso-position-horizontal-relative:page;mso-position-vertical-relative:paragraph;z-index:15732224" id="docshape17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374671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01659pt;width:1.65pt;height:1.65pt;mso-position-horizontal-relative:page;mso-position-vertical-relative:paragraph;z-index:15732736" id="docshape18" coordorigin="975,590" coordsize="33,33" path="m996,623l987,623,983,621,977,615,975,611,975,602,977,598,983,592,987,590,996,590,1000,592,1006,598,1008,602,1008,606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Only elected member of the American Law Institute practicing in the Central </w:t>
      </w:r>
      <w:r>
        <w:rPr>
          <w:color w:val="6E6158"/>
        </w:rPr>
        <w:t>Valley AV® Preeminent™ Peer Review Rated by Martindale Hubbell</w:t>
      </w:r>
    </w:p>
    <w:p>
      <w:pPr>
        <w:pStyle w:val="BodyText"/>
        <w:spacing w:line="420" w:lineRule="auto" w:before="7"/>
        <w:ind w:right="30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27753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85315pt;width:1.65pt;height:1.65pt;mso-position-horizontal-relative:page;mso-position-vertical-relative:paragraph;z-index:15733248" id="docshape19" coordorigin="975,44" coordsize="33,33" path="m996,76l987,76,983,75,977,68,975,64,975,55,977,52,983,45,987,44,996,44,1000,45,1006,52,1008,55,1008,60,1008,64,1006,68,1000,75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286119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529064pt;width:1.65pt;height:1.65pt;mso-position-horizontal-relative:page;mso-position-vertical-relative:paragraph;z-index:15733760" id="docshape20" coordorigin="975,451" coordsize="33,33" path="m996,483l987,483,983,482,977,475,975,471,975,462,977,459,983,452,987,451,996,451,1000,452,1006,459,1008,462,1008,467,1008,471,1006,475,1000,482,996,4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Northern California Super Lawyer in the field of Taxation, 2005, 2008-</w:t>
      </w:r>
      <w:r>
        <w:rPr>
          <w:color w:val="6E6158"/>
        </w:rPr>
        <w:t>2024 Marquis’ Who’s Who in America</w:t>
      </w:r>
    </w:p>
    <w:p>
      <w:pPr>
        <w:pStyle w:val="BodyText"/>
        <w:spacing w:line="420" w:lineRule="auto"/>
        <w:ind w:right="61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22299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55846pt;width:1.65pt;height:1.65pt;mso-position-horizontal-relative:page;mso-position-vertical-relative:paragraph;z-index:15734272" id="docshape21" coordorigin="975,35" coordsize="33,33" path="m996,68l987,68,983,66,977,60,975,56,975,47,977,43,983,37,987,35,996,35,1000,37,1006,43,1008,47,1008,51,1008,56,1006,60,1000,66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280664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099596pt;width:1.65pt;height:1.65pt;mso-position-horizontal-relative:page;mso-position-vertical-relative:paragraph;z-index:15734784" id="docshape22" coordorigin="975,442" coordsize="33,33" path="m996,475l987,475,983,473,977,467,975,463,975,454,977,450,983,444,987,442,996,442,1000,444,1006,450,1008,454,1008,458,1008,463,1006,467,1000,473,996,4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Marquis’ Who’s Who in American </w:t>
      </w:r>
      <w:r>
        <w:rPr>
          <w:color w:val="6E6158"/>
        </w:rPr>
        <w:t>Law Marquis’ Who’s Who in the West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5808" id="docshape23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Fresno</w:t>
      </w:r>
      <w:r>
        <w:rPr>
          <w:color w:val="6E6158"/>
          <w:spacing w:val="12"/>
        </w:rPr>
        <w:t> </w:t>
      </w:r>
      <w:r>
        <w:rPr>
          <w:color w:val="6E6158"/>
        </w:rPr>
        <w:t>County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3"/>
        </w:rPr>
        <w:t> </w:t>
      </w:r>
      <w:r>
        <w:rPr>
          <w:color w:val="6E6158"/>
        </w:rPr>
        <w:t>1983</w:t>
      </w:r>
      <w:r>
        <w:rPr>
          <w:color w:val="6E6158"/>
          <w:spacing w:val="13"/>
        </w:rPr>
        <w:t> </w:t>
      </w:r>
      <w:r>
        <w:rPr>
          <w:color w:val="6E6158"/>
        </w:rPr>
        <w:t>volunteer</w:t>
      </w:r>
      <w:r>
        <w:rPr>
          <w:color w:val="6E6158"/>
          <w:spacing w:val="12"/>
        </w:rPr>
        <w:t> </w:t>
      </w:r>
      <w:r>
        <w:rPr>
          <w:color w:val="6E6158"/>
        </w:rPr>
        <w:t>attorney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year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133998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1053pt;width:1.65pt;height:1.65pt;mso-position-horizontal-relative:page;mso-position-vertical-relative:paragraph;z-index:15736320" id="docshape24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2018 Alumnus of the Year of the Fresno Chapter of the University of California Hastings College of Law Alumni</w:t>
      </w:r>
      <w:r>
        <w:rPr>
          <w:color w:val="6E6158"/>
          <w:spacing w:val="80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  <w:spacing w:before="15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116621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2818pt;width:1.65pt;height:1.65pt;mso-position-horizontal-relative:page;mso-position-vertical-relative:paragraph;z-index:15736832" id="docshape25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“New</w:t>
      </w:r>
      <w:r>
        <w:rPr>
          <w:color w:val="6E6158"/>
          <w:spacing w:val="9"/>
        </w:rPr>
        <w:t> </w:t>
      </w:r>
      <w:r>
        <w:rPr>
          <w:color w:val="6E6158"/>
        </w:rPr>
        <w:t>Wine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AMT</w:t>
      </w:r>
      <w:r>
        <w:rPr>
          <w:color w:val="6E6158"/>
          <w:spacing w:val="10"/>
        </w:rPr>
        <w:t> </w:t>
      </w:r>
      <w:r>
        <w:rPr>
          <w:color w:val="6E6158"/>
        </w:rPr>
        <w:t>Old</w:t>
      </w:r>
      <w:r>
        <w:rPr>
          <w:color w:val="6E6158"/>
          <w:spacing w:val="9"/>
        </w:rPr>
        <w:t> </w:t>
      </w:r>
      <w:r>
        <w:rPr>
          <w:color w:val="6E6158"/>
        </w:rPr>
        <w:t>Bottle,”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9"/>
        </w:rPr>
        <w:t> </w:t>
      </w:r>
      <w:r>
        <w:rPr>
          <w:color w:val="6E6158"/>
        </w:rPr>
        <w:t>Charles</w:t>
      </w:r>
      <w:r>
        <w:rPr>
          <w:color w:val="6E6158"/>
          <w:spacing w:val="10"/>
        </w:rPr>
        <w:t> </w:t>
      </w:r>
      <w:r>
        <w:rPr>
          <w:color w:val="6E6158"/>
        </w:rPr>
        <w:t>Davenport,</w:t>
      </w:r>
      <w:r>
        <w:rPr>
          <w:color w:val="6E6158"/>
          <w:spacing w:val="9"/>
        </w:rPr>
        <w:t> </w:t>
      </w:r>
      <w:r>
        <w:rPr>
          <w:color w:val="6E6158"/>
        </w:rPr>
        <w:t>74</w:t>
      </w:r>
      <w:r>
        <w:rPr>
          <w:color w:val="6E6158"/>
          <w:spacing w:val="10"/>
        </w:rPr>
        <w:t> </w:t>
      </w:r>
      <w:r>
        <w:rPr>
          <w:color w:val="6E6158"/>
        </w:rPr>
        <w:t>Tax</w:t>
      </w:r>
      <w:r>
        <w:rPr>
          <w:color w:val="6E6158"/>
          <w:spacing w:val="9"/>
        </w:rPr>
        <w:t> </w:t>
      </w:r>
      <w:r>
        <w:rPr>
          <w:color w:val="6E6158"/>
        </w:rPr>
        <w:t>Notes</w:t>
      </w:r>
      <w:r>
        <w:rPr>
          <w:color w:val="6E6158"/>
          <w:spacing w:val="10"/>
        </w:rPr>
        <w:t> </w:t>
      </w:r>
      <w:r>
        <w:rPr>
          <w:color w:val="6E6158"/>
        </w:rPr>
        <w:t>939,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1997</w:t>
      </w:r>
    </w:p>
    <w:p>
      <w:pPr>
        <w:pStyle w:val="BodyText"/>
        <w:spacing w:line="422" w:lineRule="auto" w:before="174"/>
        <w:ind w:right="6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133716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8863pt;width:1.65pt;height:1.65pt;mso-position-horizontal-relative:page;mso-position-vertical-relative:paragraph;z-index:15737344" id="docshape26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392082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72612pt;width:1.65pt;height:1.65pt;mso-position-horizontal-relative:page;mso-position-vertical-relative:paragraph;z-index:15737856" id="docshape27" coordorigin="975,617" coordsize="33,33" path="m996,650l987,650,983,648,977,642,975,638,975,629,977,625,983,619,987,617,996,617,1000,619,1006,625,1008,629,1008,634,1008,638,1006,642,1000,648,9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655615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51.623238pt;width:1.65pt;height:1.65pt;mso-position-horizontal-relative:page;mso-position-vertical-relative:paragraph;z-index:15738368" id="docshape28" coordorigin="975,1032" coordsize="33,33" path="m996,1065l987,1065,983,1063,977,1057,975,1053,975,1044,977,1040,983,1034,987,1032,996,1032,1000,1034,1006,1040,1008,1044,1008,1049,1008,1053,1006,1057,1000,1063,996,10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“Taxation of Real Property Transfers,” (1981) and supplements; California Continuing Education of the Bar</w:t>
      </w:r>
      <w:r>
        <w:rPr>
          <w:color w:val="6E6158"/>
          <w:spacing w:val="40"/>
        </w:rPr>
        <w:t> </w:t>
      </w:r>
      <w:r>
        <w:rPr>
          <w:color w:val="6E6158"/>
        </w:rPr>
        <w:t>“Collection of Delinquent Federal Taxes,” with Charles Davenport, 28 U.S.C. Tax Institute 589, 1976</w:t>
      </w:r>
      <w:r>
        <w:rPr>
          <w:color w:val="6E6158"/>
          <w:spacing w:val="80"/>
        </w:rPr>
        <w:t> </w:t>
      </w:r>
      <w:r>
        <w:rPr>
          <w:color w:val="6E6158"/>
        </w:rPr>
        <w:t>Presenter, University of Southern California Tax Institute</w:t>
      </w:r>
    </w:p>
    <w:p>
      <w:pPr>
        <w:pStyle w:val="BodyText"/>
        <w:spacing w:line="420" w:lineRule="auto"/>
        <w:ind w:right="25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22442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67103pt;width:1.65pt;height:1.65pt;mso-position-horizontal-relative:page;mso-position-vertical-relative:paragraph;z-index:15738880" id="docshape29" coordorigin="975,35" coordsize="33,33" path="m996,68l987,68,983,66,977,60,975,56,975,47,977,43,983,37,987,35,996,35,1000,37,1006,43,1008,47,1008,52,1008,56,1006,60,1000,66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280807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110851pt;width:1.65pt;height:1.65pt;mso-position-horizontal-relative:page;mso-position-vertical-relative:paragraph;z-index:15739392" id="docshape30" coordorigin="975,442" coordsize="33,33" path="m996,475l987,475,983,473,977,467,975,463,975,454,977,450,983,444,987,442,996,442,1000,444,1006,450,1008,454,1008,458,1008,463,1006,467,1000,473,996,4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California CPA Society Farmers’ Tax and Accounting </w:t>
      </w:r>
      <w:r>
        <w:rPr>
          <w:color w:val="6E6158"/>
        </w:rPr>
        <w:t>Conferences Presenter, Annual Meetings of the California Tax Bars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21432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687634pt;width:1.65pt;height:1.65pt;mso-position-horizontal-relative:page;mso-position-vertical-relative:paragraph;z-index:15739904" id="docshape31" coordorigin="975,34" coordsize="33,33" path="m996,66l987,66,983,65,977,58,975,55,975,46,977,42,983,35,987,34,996,34,1000,35,1006,42,1008,46,1008,50,1008,55,1006,58,1000,65,996,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-1"/>
        </w:rPr>
        <w:t> </w:t>
      </w:r>
      <w:r>
        <w:rPr>
          <w:color w:val="6E6158"/>
        </w:rPr>
        <w:t>IRS Tax </w:t>
      </w:r>
      <w:r>
        <w:rPr>
          <w:color w:val="6E6158"/>
          <w:spacing w:val="-2"/>
        </w:rPr>
        <w:t>Institutes</w:t>
      </w:r>
    </w:p>
    <w:p>
      <w:pPr>
        <w:pStyle w:val="BodyText"/>
        <w:spacing w:before="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138050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870082pt;width:1.65pt;height:1.65pt;mso-position-horizontal-relative:page;mso-position-vertical-relative:paragraph;z-index:15740416" id="docshape32" coordorigin="975,217" coordsize="33,33" path="m996,250l987,250,983,248,977,242,975,238,975,229,977,225,983,219,987,217,996,217,1000,219,1006,225,1008,229,1008,234,1008,238,1006,242,1000,248,9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Fall</w:t>
      </w:r>
      <w:r>
        <w:rPr>
          <w:color w:val="6E6158"/>
          <w:spacing w:val="11"/>
        </w:rPr>
        <w:t> </w:t>
      </w:r>
      <w:r>
        <w:rPr>
          <w:color w:val="6E6158"/>
        </w:rPr>
        <w:t>Section</w:t>
      </w:r>
      <w:r>
        <w:rPr>
          <w:color w:val="6E6158"/>
          <w:spacing w:val="11"/>
        </w:rPr>
        <w:t> </w:t>
      </w:r>
      <w:r>
        <w:rPr>
          <w:color w:val="6E6158"/>
        </w:rPr>
        <w:t>Education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line="420" w:lineRule="auto" w:before="174"/>
        <w:ind w:right="19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619132</wp:posOffset>
                </wp:positionH>
                <wp:positionV relativeFrom="paragraph">
                  <wp:posOffset>133554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16126pt;width:1.65pt;height:1.65pt;mso-position-horizontal-relative:page;mso-position-vertical-relative:paragraph;z-index:15740928" id="docshape33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619132</wp:posOffset>
                </wp:positionH>
                <wp:positionV relativeFrom="paragraph">
                  <wp:posOffset>391920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59875pt;width:1.65pt;height:1.65pt;mso-position-horizontal-relative:page;mso-position-vertical-relative:paragraph;z-index:15741440" id="docshape34" coordorigin="975,617" coordsize="33,33" path="m996,650l987,650,983,648,977,642,975,638,975,629,977,625,983,619,987,617,996,617,1000,619,1006,625,1008,629,1008,633,1008,638,1006,642,1000,648,9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Professor of Law, San Joaquin College of Law, teaching federal tax </w:t>
      </w:r>
      <w:r>
        <w:rPr>
          <w:color w:val="6E6158"/>
        </w:rPr>
        <w:t>procedure Guest lecturer, California State University, Fresno, teaching mergers and acquisitions</w:t>
      </w:r>
    </w:p>
    <w:p>
      <w:pPr>
        <w:pStyle w:val="Heading1"/>
        <w:spacing w:before="16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right="54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619132</wp:posOffset>
                </wp:positionH>
                <wp:positionV relativeFrom="paragraph">
                  <wp:posOffset>116705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9389pt;width:1.65pt;height:1.65pt;mso-position-horizontal-relative:page;mso-position-vertical-relative:paragraph;z-index:15741952" id="docshape35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619132</wp:posOffset>
                </wp:positionH>
                <wp:positionV relativeFrom="paragraph">
                  <wp:posOffset>375070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33138pt;width:1.65pt;height:1.65pt;mso-position-horizontal-relative:page;mso-position-vertical-relative:paragraph;z-index:15742464" id="docshape36" coordorigin="975,591" coordsize="33,33" path="m996,623l987,623,983,622,977,615,975,611,975,602,977,599,983,592,987,591,996,591,1000,592,1006,599,1008,602,1008,607,1008,611,1006,615,1000,622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Law Institute, 1991-present Trustee, Community Health Systems, 2011 – </w:t>
      </w:r>
      <w:r>
        <w:rPr>
          <w:color w:val="6E6158"/>
        </w:rPr>
        <w:t>2022</w:t>
      </w:r>
    </w:p>
    <w:p>
      <w:pPr>
        <w:pStyle w:val="BodyText"/>
        <w:spacing w:line="420" w:lineRule="auto"/>
        <w:ind w:right="43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619132</wp:posOffset>
                </wp:positionH>
                <wp:positionV relativeFrom="paragraph">
                  <wp:posOffset>22350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5992pt;width:1.65pt;height:1.65pt;mso-position-horizontal-relative:page;mso-position-vertical-relative:paragraph;z-index:15742976" id="docshape37" coordorigin="975,35" coordsize="33,33" path="m996,68l987,68,983,66,977,60,975,56,975,47,977,43,983,37,987,35,996,35,1000,37,1006,43,1008,47,1008,51,1008,56,1006,60,1000,66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619132</wp:posOffset>
                </wp:positionH>
                <wp:positionV relativeFrom="paragraph">
                  <wp:posOffset>280716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10367pt;width:1.65pt;height:1.65pt;mso-position-horizontal-relative:page;mso-position-vertical-relative:paragraph;z-index:15743488" id="docshape38" coordorigin="975,442" coordsize="33,33" path="m996,475l987,475,983,473,977,467,975,463,975,454,977,450,983,444,987,442,996,442,1000,444,1006,450,1008,454,1008,458,1008,463,1006,467,1000,473,996,4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Trustee, California Health Sciences University 2012 – </w:t>
      </w:r>
      <w:r>
        <w:rPr>
          <w:color w:val="6E6158"/>
        </w:rPr>
        <w:t>2023 Community Advisor, San Joaquin Valley Town Hall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619132</wp:posOffset>
                </wp:positionH>
                <wp:positionV relativeFrom="paragraph">
                  <wp:posOffset>26509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087326pt;width:1.65pt;height:1.65pt;mso-position-horizontal-relative:page;mso-position-vertical-relative:paragraph;z-index:15744000" id="docshape39" coordorigin="975,42" coordsize="33,33" path="m996,74l987,74,983,73,977,66,975,63,975,54,977,50,983,43,987,42,996,42,1000,43,1006,50,1008,54,1008,58,1008,63,1006,66,1000,73,996,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Taxation</w:t>
      </w:r>
      <w:r>
        <w:rPr>
          <w:color w:val="6E6158"/>
          <w:spacing w:val="12"/>
        </w:rPr>
        <w:t> </w:t>
      </w:r>
      <w:r>
        <w:rPr>
          <w:color w:val="6E6158"/>
        </w:rPr>
        <w:t>Section</w:t>
      </w:r>
      <w:r>
        <w:rPr>
          <w:color w:val="6E6158"/>
          <w:spacing w:val="13"/>
        </w:rPr>
        <w:t> </w:t>
      </w:r>
      <w:r>
        <w:rPr>
          <w:color w:val="6E6158"/>
        </w:rPr>
        <w:t>Executive</w:t>
      </w:r>
      <w:r>
        <w:rPr>
          <w:color w:val="6E6158"/>
          <w:spacing w:val="12"/>
        </w:rPr>
        <w:t> </w:t>
      </w:r>
      <w:r>
        <w:rPr>
          <w:color w:val="6E6158"/>
        </w:rPr>
        <w:t>Committee</w:t>
      </w:r>
      <w:r>
        <w:rPr>
          <w:color w:val="6E6158"/>
          <w:spacing w:val="13"/>
        </w:rPr>
        <w:t> </w:t>
      </w:r>
      <w:r>
        <w:rPr>
          <w:color w:val="6E6158"/>
        </w:rPr>
        <w:t>(1983-</w:t>
      </w:r>
      <w:r>
        <w:rPr>
          <w:color w:val="6E6158"/>
          <w:spacing w:val="-5"/>
        </w:rPr>
        <w:t>86)</w:t>
      </w:r>
    </w:p>
    <w:p>
      <w:pPr>
        <w:pStyle w:val="BodyText"/>
        <w:spacing w:line="420" w:lineRule="auto" w:before="174"/>
        <w:ind w:right="1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619132</wp:posOffset>
                </wp:positionH>
                <wp:positionV relativeFrom="paragraph">
                  <wp:posOffset>133773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337pt;width:1.65pt;height:1.65pt;mso-position-horizontal-relative:page;mso-position-vertical-relative:paragraph;z-index:15744512" id="docshape40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619132</wp:posOffset>
                </wp:positionH>
                <wp:positionV relativeFrom="paragraph">
                  <wp:posOffset>392139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77119pt;width:1.65pt;height:1.65pt;mso-position-horizontal-relative:page;mso-position-vertical-relative:paragraph;z-index:15745024" id="docshape41" coordorigin="975,618" coordsize="33,33" path="m996,650l987,650,983,649,977,642,975,638,975,629,977,625,983,619,987,618,996,618,1000,619,1006,625,1008,629,1008,634,1008,638,1006,642,1000,649,9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State Bar of California Taxation Section Standards of Tax Practice Committee (1997-1998) Editor, The California Tax Lawyer, 1985-1986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619132</wp:posOffset>
                </wp:positionH>
                <wp:positionV relativeFrom="paragraph">
                  <wp:posOffset>27441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60776pt;width:1.65pt;height:1.65pt;mso-position-horizontal-relative:page;mso-position-vertical-relative:paragraph;z-index:15745536" id="docshape42" coordorigin="975,43" coordsize="33,33" path="m996,76l987,76,983,74,977,68,975,64,975,55,977,51,983,45,987,43,996,43,1000,45,1006,51,1008,55,1008,59,1008,64,1006,68,1000,74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Director,</w:t>
      </w:r>
      <w:r>
        <w:rPr>
          <w:color w:val="6E6158"/>
          <w:spacing w:val="12"/>
        </w:rPr>
        <w:t> </w:t>
      </w:r>
      <w:r>
        <w:rPr>
          <w:color w:val="6E6158"/>
        </w:rPr>
        <w:t>Fresno</w:t>
      </w:r>
      <w:r>
        <w:rPr>
          <w:color w:val="6E6158"/>
          <w:spacing w:val="12"/>
        </w:rPr>
        <w:t> </w:t>
      </w:r>
      <w:r>
        <w:rPr>
          <w:color w:val="6E6158"/>
        </w:rPr>
        <w:t>County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Association,</w:t>
      </w:r>
      <w:r>
        <w:rPr>
          <w:color w:val="6E6158"/>
          <w:spacing w:val="12"/>
        </w:rPr>
        <w:t> </w:t>
      </w:r>
      <w:r>
        <w:rPr>
          <w:color w:val="6E6158"/>
        </w:rPr>
        <w:t>1983-</w:t>
      </w:r>
      <w:r>
        <w:rPr>
          <w:color w:val="6E6158"/>
          <w:spacing w:val="-4"/>
        </w:rPr>
        <w:t>1986</w:t>
      </w:r>
    </w:p>
    <w:p>
      <w:pPr>
        <w:pStyle w:val="BodyText"/>
        <w:spacing w:line="420" w:lineRule="auto" w:before="174"/>
        <w:ind w:right="43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619132</wp:posOffset>
                </wp:positionH>
                <wp:positionV relativeFrom="paragraph">
                  <wp:posOffset>643470</wp:posOffset>
                </wp:positionV>
                <wp:extent cx="20955" cy="20955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50.666969pt;width:1.65pt;height:1.65pt;mso-position-horizontal-relative:page;mso-position-vertical-relative:paragraph;z-index:-15721984;mso-wrap-distance-left:0;mso-wrap-distance-right:0" id="docshape43" coordorigin="975,1013" coordsize="33,33" path="m996,1046l987,1046,983,1044,977,1038,975,1034,975,1025,977,1021,983,1015,987,1013,996,1013,1000,1015,1006,1021,1008,1025,1008,1030,1008,1034,1006,1038,1000,1044,996,1046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619132</wp:posOffset>
                </wp:positionH>
                <wp:positionV relativeFrom="paragraph">
                  <wp:posOffset>134071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682pt;width:1.65pt;height:1.65pt;mso-position-horizontal-relative:page;mso-position-vertical-relative:paragraph;z-index:15746048" id="docshape44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619132</wp:posOffset>
                </wp:positionH>
                <wp:positionV relativeFrom="paragraph">
                  <wp:posOffset>392437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90057pt;width:1.65pt;height:1.65pt;mso-position-horizontal-relative:page;mso-position-vertical-relative:paragraph;z-index:15746560" id="docshape45" coordorigin="975,618" coordsize="33,33" path="m996,651l987,651,983,649,977,643,975,639,975,630,977,626,983,620,987,618,996,618,1000,620,1006,626,1008,630,1008,634,1008,639,1006,643,1000,649,996,6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Fresno County Young Lawyers Association, </w:t>
      </w:r>
      <w:r>
        <w:rPr>
          <w:color w:val="6E6158"/>
        </w:rPr>
        <w:t>1982 Member, State Bar of California</w:t>
      </w:r>
    </w:p>
    <w:p>
      <w:pPr>
        <w:pStyle w:val="BodyText"/>
        <w:spacing w:line="175" w:lineRule="exact"/>
      </w:pP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Fresno</w:t>
      </w:r>
      <w:r>
        <w:rPr>
          <w:color w:val="6E6158"/>
          <w:spacing w:val="7"/>
        </w:rPr>
        <w:t> </w:t>
      </w:r>
      <w:r>
        <w:rPr>
          <w:color w:val="6E6158"/>
        </w:rPr>
        <w:t>County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ind w:left="55" w:right="9129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912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619132</wp:posOffset>
                </wp:positionH>
                <wp:positionV relativeFrom="paragraph">
                  <wp:posOffset>116343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093pt;width:1.65pt;height:1.65pt;mso-position-horizontal-relative:page;mso-position-vertical-relative:paragraph;z-index:15747072" id="docshape46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77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ax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jmcgrego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2024-11-12T11:52:10Z</dcterms:created>
  <dcterms:modified xsi:type="dcterms:W3CDTF">2024-11-12T11:52:10Z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