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3"/>
        <w:rPr>
          <w:rFonts w:ascii="Times New Roman"/>
          <w:sz w:val="24"/>
        </w:rPr>
      </w:pPr>
    </w:p>
    <w:p>
      <w:pPr>
        <w:spacing w:before="0"/>
        <w:ind w:left="12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-2957353</wp:posOffset>
                </wp:positionV>
                <wp:extent cx="6955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2888615"/>
                          <a:chExt cx="6955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620010">
                                <a:moveTo>
                                  <a:pt x="3477601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85517" y="1369342"/>
                            <a:ext cx="206184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845" h="320675">
                                <a:moveTo>
                                  <a:pt x="2061756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061756" y="320370"/>
                                </a:lnTo>
                                <a:lnTo>
                                  <a:pt x="2061756" y="315201"/>
                                </a:lnTo>
                                <a:close/>
                              </a:path>
                              <a:path w="2061845" h="320675">
                                <a:moveTo>
                                  <a:pt x="2061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61756" y="5168"/>
                                </a:lnTo>
                                <a:lnTo>
                                  <a:pt x="2061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83181" y="763308"/>
                            <a:ext cx="207962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PATRICK</w:t>
                              </w:r>
                              <w:r>
                                <w:rPr>
                                  <w:color w:val="FFFFFF"/>
                                  <w:spacing w:val="-22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J.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BLACK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20124" y="1859626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83181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75332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99760" y="2226506"/>
                            <a:ext cx="14458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pblack@fennemorelaw.com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32.862503pt;width:547.7pt;height:227.45pt;mso-position-horizontal-relative:page;mso-position-vertical-relative:paragraph;z-index:15728640" id="docshapegroup1" coordorigin="641,-4657" coordsize="10954,4549">
                <v:shape style="position:absolute;left:641;top:-4658;width:2165;height:424" type="#_x0000_t75" id="docshape2" href="https://www.fennemorelaw.com/" stroked="false">
                  <v:imagedata r:id="rId5" o:title=""/>
                </v:shape>
                <v:shape style="position:absolute;left:641;top:-4235;width:5477;height:4126" type="#_x0000_t75" id="docshape3" stroked="false">
                  <v:imagedata r:id="rId7" o:title=""/>
                </v:shape>
                <v:rect style="position:absolute;left:6117;top:-4235;width:5477;height:4126" id="docshape4" filled="true" fillcolor="#262424" stroked="false">
                  <v:fill type="solid"/>
                </v:rect>
                <v:shape style="position:absolute;left:7232;top:-2501;width:3247;height:505" id="docshape5" coordorigin="7233,-2501" coordsize="3247,505" path="m10480,-2004l7233,-2004,7233,-1996,10480,-1996,10480,-2004xm10480,-2501l7233,-2501,7233,-2493,10480,-2493,10480,-250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29;top:-3456;width:3275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PATRICK</w:t>
                        </w:r>
                        <w:r>
                          <w:rPr>
                            <w:color w:val="FFFFFF"/>
                            <w:spacing w:val="-22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J.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BLACK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47;top:-1729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229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602.916.5400</w:t>
                        </w:r>
                      </w:p>
                    </w:txbxContent>
                  </v:textbox>
                  <w10:wrap type="none"/>
                </v:shape>
                <v:shape style="position:absolute;left:9263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602.916.5600</w:t>
                        </w:r>
                      </w:p>
                    </w:txbxContent>
                  </v:textbox>
                  <w10:wrap type="none"/>
                </v:shape>
                <v:shape style="position:absolute;left:7727;top:-1151;width:227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pblack@fennemorelaw.com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002E6B"/>
          <w:sz w:val="24"/>
        </w:rPr>
        <w:t>BLACK,</w:t>
      </w:r>
      <w:r>
        <w:rPr>
          <w:b/>
          <w:color w:val="002E6B"/>
          <w:spacing w:val="9"/>
          <w:sz w:val="24"/>
        </w:rPr>
        <w:t> </w:t>
      </w:r>
      <w:r>
        <w:rPr>
          <w:b/>
          <w:color w:val="002E6B"/>
          <w:sz w:val="24"/>
        </w:rPr>
        <w:t>PATRICK</w:t>
      </w:r>
      <w:r>
        <w:rPr>
          <w:b/>
          <w:color w:val="002E6B"/>
          <w:spacing w:val="10"/>
          <w:sz w:val="24"/>
        </w:rPr>
        <w:t> </w:t>
      </w:r>
      <w:r>
        <w:rPr>
          <w:b/>
          <w:color w:val="002E6B"/>
          <w:spacing w:val="-5"/>
          <w:sz w:val="24"/>
        </w:rPr>
        <w:t>J.</w:t>
      </w:r>
    </w:p>
    <w:p>
      <w:pPr>
        <w:pStyle w:val="BodyText"/>
        <w:spacing w:line="297" w:lineRule="auto" w:before="146"/>
        <w:ind w:left="124" w:right="241"/>
      </w:pPr>
      <w:r>
        <w:rPr>
          <w:color w:val="6E6158"/>
        </w:rPr>
        <w:t>Patrick Black is a member of our natural resources, energy and environmental law group, where he focuses</w:t>
      </w:r>
      <w:r>
        <w:rPr>
          <w:color w:val="6E6158"/>
          <w:spacing w:val="80"/>
        </w:rPr>
        <w:t> </w:t>
      </w:r>
      <w:r>
        <w:rPr>
          <w:color w:val="6E6158"/>
        </w:rPr>
        <w:t>primarily on energy and water regulatory matters.</w:t>
      </w:r>
      <w:r>
        <w:rPr>
          <w:color w:val="6E6158"/>
          <w:spacing w:val="80"/>
        </w:rPr>
        <w:t> </w:t>
      </w:r>
      <w:r>
        <w:rPr>
          <w:color w:val="6E6158"/>
        </w:rPr>
        <w:t>Patrick represents large industrial customers, renewable</w:t>
      </w:r>
      <w:r>
        <w:rPr>
          <w:color w:val="6E6158"/>
          <w:spacing w:val="40"/>
        </w:rPr>
        <w:t> </w:t>
      </w:r>
      <w:r>
        <w:rPr>
          <w:color w:val="6E6158"/>
        </w:rPr>
        <w:t>energy developers and water and wastewater utilities in matters before the Arizona Corporation Commission.</w:t>
      </w:r>
      <w:r>
        <w:rPr>
          <w:color w:val="6E6158"/>
          <w:spacing w:val="80"/>
        </w:rPr>
        <w:t> </w:t>
      </w:r>
      <w:r>
        <w:rPr>
          <w:color w:val="6E6158"/>
        </w:rPr>
        <w:t>Patrick also works with commercial and residential developers in securing utility services for end-use customers,</w:t>
      </w:r>
      <w:r>
        <w:rPr>
          <w:color w:val="6E6158"/>
          <w:spacing w:val="80"/>
        </w:rPr>
        <w:t> </w:t>
      </w:r>
      <w:r>
        <w:rPr>
          <w:color w:val="6E6158"/>
        </w:rPr>
        <w:t>including the integration of energy efficiency, clean tech and emerging technology programs to help combat</w:t>
      </w:r>
      <w:r>
        <w:rPr>
          <w:color w:val="6E6158"/>
          <w:spacing w:val="80"/>
        </w:rPr>
        <w:t> </w:t>
      </w:r>
      <w:r>
        <w:rPr>
          <w:color w:val="6E6158"/>
        </w:rPr>
        <w:t>climate</w:t>
      </w:r>
      <w:r>
        <w:rPr>
          <w:color w:val="6E6158"/>
          <w:spacing w:val="25"/>
        </w:rPr>
        <w:t> </w:t>
      </w:r>
      <w:r>
        <w:rPr>
          <w:color w:val="6E6158"/>
        </w:rPr>
        <w:t>change.</w:t>
      </w:r>
      <w:r>
        <w:rPr>
          <w:color w:val="6E6158"/>
          <w:spacing w:val="80"/>
        </w:rPr>
        <w:t> </w:t>
      </w:r>
      <w:r>
        <w:rPr>
          <w:color w:val="6E6158"/>
        </w:rPr>
        <w:t>He</w:t>
      </w:r>
      <w:r>
        <w:rPr>
          <w:color w:val="6E6158"/>
          <w:spacing w:val="25"/>
        </w:rPr>
        <w:t> </w:t>
      </w:r>
      <w:r>
        <w:rPr>
          <w:color w:val="6E6158"/>
        </w:rPr>
        <w:t>also</w:t>
      </w:r>
      <w:r>
        <w:rPr>
          <w:color w:val="6E6158"/>
          <w:spacing w:val="25"/>
        </w:rPr>
        <w:t> </w:t>
      </w:r>
      <w:r>
        <w:rPr>
          <w:color w:val="6E6158"/>
        </w:rPr>
        <w:t>represents</w:t>
      </w:r>
      <w:r>
        <w:rPr>
          <w:color w:val="6E6158"/>
          <w:spacing w:val="25"/>
        </w:rPr>
        <w:t> </w:t>
      </w:r>
      <w:r>
        <w:rPr>
          <w:color w:val="6E6158"/>
        </w:rPr>
        <w:t>clients</w:t>
      </w:r>
      <w:r>
        <w:rPr>
          <w:color w:val="6E6158"/>
          <w:spacing w:val="25"/>
        </w:rPr>
        <w:t> </w:t>
      </w:r>
      <w:r>
        <w:rPr>
          <w:color w:val="6E6158"/>
        </w:rPr>
        <w:t>before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Arizona</w:t>
      </w:r>
      <w:r>
        <w:rPr>
          <w:color w:val="6E6158"/>
          <w:spacing w:val="25"/>
        </w:rPr>
        <w:t> </w:t>
      </w:r>
      <w:r>
        <w:rPr>
          <w:color w:val="6E6158"/>
        </w:rPr>
        <w:t>Power</w:t>
      </w:r>
      <w:r>
        <w:rPr>
          <w:color w:val="6E6158"/>
          <w:spacing w:val="25"/>
        </w:rPr>
        <w:t> </w:t>
      </w:r>
      <w:r>
        <w:rPr>
          <w:color w:val="6E6158"/>
        </w:rPr>
        <w:t>Plant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Line</w:t>
      </w:r>
      <w:r>
        <w:rPr>
          <w:color w:val="6E6158"/>
          <w:spacing w:val="25"/>
        </w:rPr>
        <w:t> </w:t>
      </w:r>
      <w:r>
        <w:rPr>
          <w:color w:val="6E6158"/>
        </w:rPr>
        <w:t>Siting</w:t>
      </w:r>
      <w:r>
        <w:rPr>
          <w:color w:val="6E6158"/>
          <w:spacing w:val="25"/>
        </w:rPr>
        <w:t> </w:t>
      </w:r>
      <w:r>
        <w:rPr>
          <w:color w:val="6E6158"/>
        </w:rPr>
        <w:t>Committee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 siting of generation and transmission projects throughout the state.</w:t>
      </w:r>
      <w:r>
        <w:rPr>
          <w:color w:val="6E6158"/>
          <w:spacing w:val="80"/>
        </w:rPr>
        <w:t> </w:t>
      </w:r>
      <w:r>
        <w:rPr>
          <w:color w:val="6E6158"/>
        </w:rPr>
        <w:t>Patrick is currently focused on matters</w:t>
      </w:r>
      <w:r>
        <w:rPr>
          <w:color w:val="6E6158"/>
          <w:spacing w:val="40"/>
        </w:rPr>
        <w:t> </w:t>
      </w:r>
      <w:r>
        <w:rPr>
          <w:color w:val="6E6158"/>
        </w:rPr>
        <w:t>involving the development of wholesale power markets in Arizona, as well as consolidation efforts in the water</w:t>
      </w:r>
      <w:r>
        <w:rPr>
          <w:color w:val="6E6158"/>
          <w:spacing w:val="80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wastewater</w:t>
      </w:r>
      <w:r>
        <w:rPr>
          <w:color w:val="6E6158"/>
          <w:spacing w:val="23"/>
        </w:rPr>
        <w:t> </w:t>
      </w:r>
      <w:r>
        <w:rPr>
          <w:color w:val="6E6158"/>
        </w:rPr>
        <w:t>industries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achieve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higher</w:t>
      </w:r>
      <w:r>
        <w:rPr>
          <w:color w:val="6E6158"/>
          <w:spacing w:val="23"/>
        </w:rPr>
        <w:t> </w:t>
      </w:r>
      <w:r>
        <w:rPr>
          <w:color w:val="6E6158"/>
        </w:rPr>
        <w:t>level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quality</w:t>
      </w:r>
      <w:r>
        <w:rPr>
          <w:color w:val="6E6158"/>
          <w:spacing w:val="23"/>
        </w:rPr>
        <w:t> </w:t>
      </w:r>
      <w:r>
        <w:rPr>
          <w:color w:val="6E6158"/>
        </w:rPr>
        <w:t>service</w:t>
      </w:r>
      <w:r>
        <w:rPr>
          <w:color w:val="6E6158"/>
          <w:spacing w:val="23"/>
        </w:rPr>
        <w:t> </w:t>
      </w:r>
      <w:r>
        <w:rPr>
          <w:color w:val="6E6158"/>
        </w:rPr>
        <w:t>for</w:t>
      </w:r>
      <w:r>
        <w:rPr>
          <w:color w:val="6E6158"/>
          <w:spacing w:val="23"/>
        </w:rPr>
        <w:t> </w:t>
      </w:r>
      <w:r>
        <w:rPr>
          <w:color w:val="6E6158"/>
        </w:rPr>
        <w:t>customers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more</w:t>
      </w:r>
      <w:r>
        <w:rPr>
          <w:color w:val="6E6158"/>
          <w:spacing w:val="23"/>
        </w:rPr>
        <w:t> </w:t>
      </w:r>
      <w:r>
        <w:rPr>
          <w:color w:val="6E6158"/>
        </w:rPr>
        <w:t>rural</w:t>
      </w:r>
      <w:r>
        <w:rPr>
          <w:color w:val="6E6158"/>
          <w:spacing w:val="23"/>
        </w:rPr>
        <w:t> </w:t>
      </w:r>
      <w:r>
        <w:rPr>
          <w:color w:val="6E6158"/>
        </w:rPr>
        <w:t>areas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</w:p>
    <w:p>
      <w:pPr>
        <w:pStyle w:val="BodyText"/>
        <w:spacing w:line="221" w:lineRule="exact"/>
        <w:ind w:left="124"/>
      </w:pPr>
      <w:r>
        <w:rPr>
          <w:color w:val="6E6158"/>
          <w:spacing w:val="-2"/>
        </w:rPr>
        <w:t>state.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6"/>
        <w:ind w:left="377" w:right="6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116223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1484pt;width:1.65pt;height:1.65pt;mso-position-horizontal-relative:page;mso-position-vertical-relative:paragraph;z-index:15729152" id="docshape11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379756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02109pt;width:1.65pt;height:1.65pt;mso-position-horizontal-relative:page;mso-position-vertical-relative:paragraph;z-index:15729664" id="docshape12" coordorigin="975,598" coordsize="33,33" path="m996,631l987,631,983,629,977,623,975,619,975,610,977,606,983,600,987,598,996,598,1000,600,1006,606,1008,610,1008,614,1008,619,1006,623,1000,629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Santa Clara University School of </w:t>
      </w:r>
      <w:r>
        <w:rPr>
          <w:color w:val="6E6158"/>
        </w:rPr>
        <w:t>Law</w:t>
      </w:r>
      <w:r>
        <w:rPr>
          <w:color w:val="6E6158"/>
        </w:rPr>
        <w:t> B.S., Santa Clara University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line="427" w:lineRule="auto" w:before="1"/>
        <w:ind w:left="377" w:right="706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23697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65982pt;width:1.65pt;height:1.65pt;mso-position-horizontal-relative:page;mso-position-vertical-relative:paragraph;z-index:15730176" id="docshape13" coordorigin="975,37" coordsize="33,33" path="m996,70l987,70,983,68,977,62,975,58,975,49,977,45,983,39,987,37,996,37,1000,39,1006,45,1008,49,1008,54,1008,58,1006,62,1000,68,996,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287230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616606pt;width:1.65pt;height:1.65pt;mso-position-horizontal-relative:page;mso-position-vertical-relative:paragraph;z-index:15730688" id="docshape14" coordorigin="975,452" coordsize="33,33" path="m996,485l987,485,983,483,977,477,975,473,975,464,977,460,983,454,987,452,996,452,1000,454,1006,460,1008,464,1008,469,1008,473,1006,477,1000,483,996,4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Renewable Energy and Clean </w:t>
      </w:r>
      <w:r>
        <w:rPr>
          <w:color w:val="6E6158"/>
        </w:rPr>
        <w:t>Tech Natural Resources</w:t>
      </w:r>
    </w:p>
    <w:p>
      <w:pPr>
        <w:pStyle w:val="BodyText"/>
        <w:spacing w:line="226" w:lineRule="exact"/>
        <w:ind w:left="37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18345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44525pt;width:1.65pt;height:1.65pt;mso-position-horizontal-relative:page;mso-position-vertical-relative:paragraph;z-index:15731200" id="docshape15" coordorigin="975,29" coordsize="33,33" path="m996,61l987,61,983,60,977,53,975,50,975,41,977,37,983,30,987,29,996,29,1000,30,1006,37,1008,41,1008,45,1008,50,1006,53,1000,60,996,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2" w:lineRule="auto" w:before="173"/>
        <w:ind w:left="377" w:right="702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133502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2024pt;width:1.65pt;height:1.65pt;mso-position-horizontal-relative:page;mso-position-vertical-relative:paragraph;z-index:15731712" id="docshape16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619125</wp:posOffset>
                </wp:positionH>
                <wp:positionV relativeFrom="paragraph">
                  <wp:posOffset>391871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20675" y="7480"/>
                              </a:moveTo>
                              <a:lnTo>
                                <a:pt x="19659" y="5041"/>
                              </a:lnTo>
                              <a:lnTo>
                                <a:pt x="15621" y="1016"/>
                              </a:lnTo>
                              <a:lnTo>
                                <a:pt x="13195" y="0"/>
                              </a:lnTo>
                              <a:lnTo>
                                <a:pt x="7480" y="0"/>
                              </a:lnTo>
                              <a:lnTo>
                                <a:pt x="5041" y="1016"/>
                              </a:lnTo>
                              <a:lnTo>
                                <a:pt x="1016" y="5041"/>
                              </a:lnTo>
                              <a:lnTo>
                                <a:pt x="0" y="7480"/>
                              </a:lnTo>
                              <a:lnTo>
                                <a:pt x="0" y="13195"/>
                              </a:lnTo>
                              <a:lnTo>
                                <a:pt x="1016" y="15621"/>
                              </a:lnTo>
                              <a:lnTo>
                                <a:pt x="5041" y="19659"/>
                              </a:lnTo>
                              <a:lnTo>
                                <a:pt x="7480" y="20675"/>
                              </a:lnTo>
                              <a:lnTo>
                                <a:pt x="13195" y="20675"/>
                              </a:lnTo>
                              <a:lnTo>
                                <a:pt x="15621" y="19659"/>
                              </a:lnTo>
                              <a:lnTo>
                                <a:pt x="19659" y="15621"/>
                              </a:lnTo>
                              <a:lnTo>
                                <a:pt x="20675" y="13195"/>
                              </a:lnTo>
                              <a:lnTo>
                                <a:pt x="20675" y="10337"/>
                              </a:lnTo>
                              <a:lnTo>
                                <a:pt x="20675" y="7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004pt;margin-top:30.856043pt;width:1.65pt;height:1.65pt;mso-position-horizontal-relative:page;mso-position-vertical-relative:paragraph;z-index:15732224" id="docshape17" coordorigin="975,617" coordsize="33,33" path="m1008,629l1006,625,1000,619,996,617,987,617,983,619,977,625,975,629,975,638,977,642,983,648,987,650,996,650,1000,648,1006,642,1008,638,1008,633,1008,6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655401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1.606396pt;width:1.65pt;height:1.65pt;mso-position-horizontal-relative:page;mso-position-vertical-relative:paragraph;z-index:15732736" id="docshape18" coordorigin="975,1032" coordsize="33,33" path="m996,1065l987,1065,983,1063,977,1057,975,1053,975,1044,977,1040,983,1034,987,1032,996,1032,1000,1034,1006,1040,1008,1044,1008,1048,1008,1053,1006,1057,1000,1063,996,10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Technologies Government Relations &amp; </w:t>
      </w:r>
      <w:r>
        <w:rPr>
          <w:color w:val="6E6158"/>
        </w:rPr>
        <w:t>Regulatory Advanced Energy</w:t>
      </w:r>
    </w:p>
    <w:p>
      <w:pPr>
        <w:pStyle w:val="Heading1"/>
        <w:spacing w:before="160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spacing w:line="278" w:lineRule="auto" w:before="137"/>
        <w:ind w:left="377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116790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6122pt;width:1.65pt;height:1.65pt;mso-position-horizontal-relative:page;mso-position-vertical-relative:paragraph;z-index:15733248" id="docshape19" coordorigin="975,184" coordsize="33,33" path="m996,216l987,216,983,215,977,209,975,205,975,196,977,192,983,186,987,184,996,184,1000,186,1006,192,1008,196,1008,200,1008,205,1006,209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Matter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Application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Tucson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Electric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Power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Company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for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Certificate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Environmental</w:t>
      </w:r>
      <w:r>
        <w:rPr>
          <w:i/>
          <w:color w:val="6E6158"/>
          <w:sz w:val="20"/>
        </w:rPr>
        <w:t> </w:t>
      </w:r>
      <w:r>
        <w:rPr>
          <w:i/>
          <w:color w:val="6E6158"/>
          <w:spacing w:val="-2"/>
          <w:sz w:val="20"/>
        </w:rPr>
        <w:t>Compatibility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Authorizing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Construction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138kV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Transmission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Line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Associated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Facility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Serve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</w:p>
    <w:p>
      <w:pPr>
        <w:spacing w:after="0" w:line="278" w:lineRule="auto"/>
        <w:jc w:val="left"/>
        <w:rPr>
          <w:i/>
          <w:sz w:val="20"/>
        </w:rPr>
        <w:sectPr>
          <w:type w:val="continuous"/>
          <w:pgSz w:w="12240" w:h="15840"/>
          <w:pgMar w:top="640" w:bottom="280" w:left="720" w:right="720"/>
        </w:sectPr>
      </w:pPr>
    </w:p>
    <w:p>
      <w:pPr>
        <w:spacing w:before="78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Rosemont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Copper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Project</w:t>
      </w:r>
      <w:r>
        <w:rPr>
          <w:color w:val="6E6158"/>
          <w:sz w:val="19"/>
        </w:rPr>
        <w:t>.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Docket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No.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L-00000C-11-0400-</w:t>
      </w:r>
      <w:r>
        <w:rPr>
          <w:color w:val="6E6158"/>
          <w:spacing w:val="-2"/>
          <w:sz w:val="19"/>
        </w:rPr>
        <w:t>00164.</w:t>
      </w:r>
    </w:p>
    <w:p>
      <w:pPr>
        <w:spacing w:before="162"/>
        <w:ind w:left="377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132562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38016pt;width:1.65pt;height:1.65pt;mso-position-horizontal-relative:page;mso-position-vertical-relative:paragraph;z-index:15734272" id="docshape20" coordorigin="975,209" coordsize="33,33" path="m996,241l987,241,983,240,977,233,975,230,975,221,977,217,983,210,987,209,996,209,1000,210,1006,217,1008,221,1008,225,1008,230,1006,233,1000,240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In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Matter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Southern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California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Edison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Company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for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Certificate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Environmental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Compatibility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5"/>
          <w:sz w:val="20"/>
        </w:rPr>
        <w:t>to</w:t>
      </w:r>
    </w:p>
    <w:p>
      <w:pPr>
        <w:spacing w:line="288" w:lineRule="auto" w:before="48"/>
        <w:ind w:left="377" w:right="368" w:firstLine="0"/>
        <w:jc w:val="left"/>
        <w:rPr>
          <w:sz w:val="19"/>
        </w:rPr>
      </w:pPr>
      <w:r>
        <w:rPr>
          <w:i/>
          <w:color w:val="6E6158"/>
          <w:sz w:val="20"/>
        </w:rPr>
        <w:t>Construct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500kv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transmission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line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from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Palo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Verde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Devers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II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substation.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Case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No.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130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(Docket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No.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E- 00000A-06-0295-00130). Decision No. 69638.</w:t>
      </w:r>
    </w:p>
    <w:p>
      <w:pPr>
        <w:spacing w:line="288" w:lineRule="auto" w:before="118"/>
        <w:ind w:left="377" w:right="41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104381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219010pt;width:1.65pt;height:1.65pt;mso-position-horizontal-relative:page;mso-position-vertical-relative:paragraph;z-index:15734784" id="docshape21" coordorigin="975,164" coordsize="33,33" path="m996,197l987,197,983,195,977,189,975,185,975,176,977,172,983,166,987,164,996,164,1000,166,1006,172,1008,176,1008,181,1008,185,1006,189,1000,195,996,1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Matter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Proposed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Rulemaking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for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Renewable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Energy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Standard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Tariff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Rules,</w:t>
      </w:r>
      <w:r>
        <w:rPr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Docket</w:t>
      </w:r>
      <w:r>
        <w:rPr>
          <w:color w:val="6E6158"/>
          <w:spacing w:val="-13"/>
          <w:sz w:val="19"/>
        </w:rPr>
        <w:t> </w:t>
      </w:r>
      <w:r>
        <w:rPr>
          <w:color w:val="6E6158"/>
          <w:sz w:val="19"/>
        </w:rPr>
        <w:t>No. RE-00000C-05-0030. Decision No. 69127.</w:t>
      </w:r>
    </w:p>
    <w:p>
      <w:pPr>
        <w:spacing w:line="283" w:lineRule="auto" w:before="126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109475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620123pt;width:1.65pt;height:1.65pt;mso-position-horizontal-relative:page;mso-position-vertical-relative:paragraph;z-index:15735296" id="docshape22" coordorigin="975,172" coordsize="33,33" path="m996,205l987,205,983,203,977,197,975,193,975,184,977,180,983,174,987,172,996,172,1000,174,1006,180,1008,184,1008,189,1008,193,1006,197,1000,203,996,2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Matter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Application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Public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Service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Company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Determine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Fair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Value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Utility</w:t>
      </w:r>
      <w:r>
        <w:rPr>
          <w:i/>
          <w:color w:val="6E6158"/>
          <w:sz w:val="20"/>
        </w:rPr>
        <w:t> Property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Company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for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Ratemaking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Purposes,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Fix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Just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and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Reasonable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Rate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Return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Thereon,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to </w:t>
      </w:r>
      <w:r>
        <w:rPr>
          <w:i/>
          <w:color w:val="6E6158"/>
          <w:spacing w:val="-2"/>
          <w:sz w:val="20"/>
        </w:rPr>
        <w:t>Approve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Rate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Schedules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Designed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Develop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Such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Return,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for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Approval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Power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Purchase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Contract. </w:t>
      </w:r>
      <w:r>
        <w:rPr>
          <w:color w:val="6E6158"/>
          <w:sz w:val="19"/>
        </w:rPr>
        <w:t>Docket No. E-01345A-03-0437. Decision No. 67744.</w:t>
      </w:r>
    </w:p>
    <w:p>
      <w:pPr>
        <w:spacing w:line="283" w:lineRule="auto" w:before="126"/>
        <w:ind w:left="377" w:right="7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109795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645301pt;width:1.65pt;height:1.65pt;mso-position-horizontal-relative:page;mso-position-vertical-relative:paragraph;z-index:15735808" id="docshape23" coordorigin="975,173" coordsize="33,33" path="m996,205l987,205,983,204,977,198,975,194,975,185,977,181,983,174,987,173,996,173,1000,174,1006,181,1008,185,1008,189,1008,194,1006,198,1000,204,996,2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Matter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Salt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River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Project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Improvement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District,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et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al.,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for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Certificate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Environmental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Compatibility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Construct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500kv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transmission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line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from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Pinal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West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Southeast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Valley/Browning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substations,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Docket No. L-00000B-04-0126. Decision No. 68093.</w:t>
      </w:r>
    </w:p>
    <w:p>
      <w:pPr>
        <w:pStyle w:val="Heading1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696904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4.874405pt;width:1.65pt;height:1.65pt;mso-position-horizontal-relative:page;mso-position-vertical-relative:paragraph;z-index:15736320" id="docshape24" coordorigin="975,1097" coordsize="33,33" path="m996,1130l987,1130,983,1128,977,1122,975,1118,975,1109,977,1105,983,1099,987,1097,996,1097,1000,1099,1006,1105,1008,1109,1008,1114,1008,1118,1006,1122,1000,1128,996,11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955270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5.218155pt;width:1.65pt;height:1.65pt;mso-position-horizontal-relative:page;mso-position-vertical-relative:paragraph;z-index:15736832" id="docshape25" coordorigin="975,1504" coordsize="33,33" path="m996,1537l987,1537,983,1535,977,1529,975,1525,975,1516,977,1512,983,1506,987,1504,996,1504,1000,1506,1006,1512,1008,1516,1008,1521,1008,1525,1006,1529,1000,1535,996,1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8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619132</wp:posOffset>
                </wp:positionH>
                <wp:positionV relativeFrom="paragraph">
                  <wp:posOffset>121532</wp:posOffset>
                </wp:positionV>
                <wp:extent cx="20955" cy="2095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69483pt;width:1.65pt;height:1.65pt;mso-position-horizontal-relative:page;mso-position-vertical-relative:paragraph;z-index:-15723520;mso-wrap-distance-left:0;mso-wrap-distance-right:0" id="docshape26" coordorigin="975,191" coordsize="33,33" path="m996,224l987,224,983,222,977,216,975,212,975,203,977,199,983,193,987,191,996,191,1000,193,1006,199,1008,203,1008,208,1008,212,1006,216,1000,222,996,22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398" w:lineRule="auto" w:before="0"/>
        <w:ind w:left="377" w:right="1909" w:firstLine="0"/>
        <w:jc w:val="left"/>
        <w:rPr>
          <w:sz w:val="19"/>
        </w:rPr>
      </w:pP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Energy Law, Energy Regulatory Law, Utilities Law, 2013-</w:t>
      </w:r>
      <w:r>
        <w:rPr>
          <w:color w:val="6E6158"/>
          <w:sz w:val="19"/>
        </w:rPr>
        <w:t>2025 Fennemore Craig Ranked #1 for Renewable Energy by </w:t>
      </w:r>
      <w:r>
        <w:rPr>
          <w:i/>
          <w:color w:val="6E6158"/>
          <w:sz w:val="20"/>
        </w:rPr>
        <w:t>Ranking Arizona, </w:t>
      </w:r>
      <w:r>
        <w:rPr>
          <w:color w:val="6E6158"/>
          <w:sz w:val="19"/>
        </w:rPr>
        <w:t>2015-2016 </w:t>
      </w:r>
      <w:r>
        <w:rPr>
          <w:i/>
          <w:color w:val="6E6158"/>
          <w:sz w:val="20"/>
        </w:rPr>
        <w:t>Arizona’s Top Lawyers, AZ Business Magazine, </w:t>
      </w:r>
      <w:r>
        <w:rPr>
          <w:color w:val="6E6158"/>
          <w:sz w:val="19"/>
        </w:rPr>
        <w:t>2013</w:t>
      </w:r>
    </w:p>
    <w:p>
      <w:pPr>
        <w:pStyle w:val="Heading1"/>
        <w:spacing w:before="95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left="377" w:right="4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116220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1192pt;width:1.65pt;height:1.65pt;mso-position-horizontal-relative:page;mso-position-vertical-relative:paragraph;z-index:15737344" id="docshape27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“Supervisors approve franchises for rebuilding older water systems,” ParkerPioneer.net, May </w:t>
      </w:r>
      <w:r>
        <w:rPr>
          <w:color w:val="6E6158"/>
        </w:rPr>
        <w:t>23,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2022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116663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6082pt;width:1.65pt;height:1.65pt;mso-position-horizontal-relative:page;mso-position-vertical-relative:paragraph;z-index:15737856" id="docshape28" coordorigin="975,184" coordsize="33,33" path="m996,216l987,216,983,215,977,208,975,204,975,196,977,192,983,185,987,184,996,184,1000,185,1006,192,1008,196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7" w:lineRule="auto" w:before="174"/>
        <w:ind w:left="377" w:right="7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133757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2125pt;width:1.65pt;height:1.65pt;mso-position-horizontal-relative:page;mso-position-vertical-relative:paragraph;z-index:15738368" id="docshape29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397290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1.282749pt;width:1.65pt;height:1.65pt;mso-position-horizontal-relative:page;mso-position-vertical-relative:paragraph;z-index:15738880" id="docshape30" coordorigin="975,626" coordsize="33,33" path="m996,658l987,658,983,657,977,650,975,646,975,637,977,634,983,627,987,626,996,626,1000,627,1006,634,1008,637,1008,642,1008,646,1006,650,1000,657,996,6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Asian American Bar Association 2006-Present (President 2006, Board 2005-</w:t>
      </w:r>
      <w:r>
        <w:rPr>
          <w:color w:val="6E6158"/>
        </w:rPr>
        <w:t>2011) Member, American Bar Association</w:t>
      </w:r>
    </w:p>
    <w:p>
      <w:pPr>
        <w:pStyle w:val="BodyText"/>
        <w:spacing w:line="420" w:lineRule="auto"/>
        <w:ind w:left="377" w:right="29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18550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60669pt;width:1.65pt;height:1.65pt;mso-position-horizontal-relative:page;mso-position-vertical-relative:paragraph;z-index:15739392" id="docshape31" coordorigin="975,29" coordsize="33,33" path="m996,62l987,62,983,60,977,54,975,50,975,41,977,37,983,31,987,29,996,29,1000,31,1006,37,1008,41,1008,45,1008,50,1006,54,1000,60,996,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276916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804419pt;width:1.65pt;height:1.65pt;mso-position-horizontal-relative:page;mso-position-vertical-relative:paragraph;z-index:15739904" id="docshape32" coordorigin="975,436" coordsize="33,33" path="m996,469l987,469,983,467,977,461,975,457,975,448,977,444,983,438,987,436,996,436,1000,438,1006,444,1008,448,1008,452,1008,457,1006,461,1000,467,996,4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Governor Brewer’s Solar Task Force, Transmission </w:t>
      </w:r>
      <w:r>
        <w:rPr>
          <w:color w:val="6E6158"/>
        </w:rPr>
        <w:t>Subcommittee Member, Governor Napolitano’s Asian-American Advisory Council</w:t>
      </w:r>
    </w:p>
    <w:p>
      <w:pPr>
        <w:pStyle w:val="BodyText"/>
        <w:spacing w:line="302" w:lineRule="auto"/>
        <w:ind w:left="377" w:right="2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17541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3812pt;width:1.65pt;height:1.65pt;mso-position-horizontal-relative:page;mso-position-vertical-relative:paragraph;z-index:15740416" id="docshape33" coordorigin="975,28" coordsize="33,33" path="m996,60l987,60,983,59,977,52,975,48,975,39,977,36,983,29,987,28,996,28,1000,29,1006,36,1008,39,1008,44,1008,48,1006,52,1000,59,996,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Chairman, Thomas Tang Scholarship Committee for the Arizona Asian American Bar Association, </w:t>
      </w:r>
      <w:r>
        <w:rPr>
          <w:color w:val="6E6158"/>
        </w:rPr>
        <w:t>2003-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2005</w:t>
      </w:r>
    </w:p>
    <w:p>
      <w:pPr>
        <w:pStyle w:val="Heading1"/>
        <w:spacing w:before="265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116409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609pt;width:1.65pt;height:1.65pt;mso-position-horizontal-relative:page;mso-position-vertical-relative:paragraph;z-index:15740928" id="docshape34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2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pblack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2024-11-12T12:21:17Z</dcterms:created>
  <dcterms:modified xsi:type="dcterms:W3CDTF">2024-11-12T12:21:17Z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