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3"/>
        <w:ind w:left="0"/>
        <w:rPr>
          <w:rFonts w:ascii="Times New Roman"/>
          <w:sz w:val="24"/>
        </w:rPr>
      </w:pPr>
    </w:p>
    <w:p>
      <w:pPr>
        <w:spacing w:before="0"/>
        <w:ind w:left="124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-2957353</wp:posOffset>
                </wp:positionV>
                <wp:extent cx="6955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2888615"/>
                          <a:chExt cx="6955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2620010">
                                <a:moveTo>
                                  <a:pt x="3477601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257856" y="1369342"/>
                            <a:ext cx="191770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17700" h="320675">
                                <a:moveTo>
                                  <a:pt x="1917077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1917077" y="320370"/>
                                </a:lnTo>
                                <a:lnTo>
                                  <a:pt x="1917077" y="315201"/>
                                </a:lnTo>
                                <a:close/>
                              </a:path>
                              <a:path w="1917700" h="320675">
                                <a:moveTo>
                                  <a:pt x="19170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17077" y="5168"/>
                                </a:lnTo>
                                <a:lnTo>
                                  <a:pt x="1917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256977" y="763308"/>
                            <a:ext cx="193167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SAMUEL S.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EFIRD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20205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256977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0161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602.916.5540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544409" y="2226506"/>
                            <a:ext cx="13569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sefird@fennemorelaw.com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32.862503pt;width:547.7pt;height:227.45pt;mso-position-horizontal-relative:page;mso-position-vertical-relative:paragraph;z-index:15728640" id="docshapegroup1" coordorigin="641,-4657" coordsize="10954,4549">
                <v:shape style="position:absolute;left:641;top:-4658;width:2165;height:424" type="#_x0000_t75" id="docshape2" href="https://www.fennemorelaw.com/" stroked="false">
                  <v:imagedata r:id="rId5" o:title=""/>
                </v:shape>
                <v:shape style="position:absolute;left:641;top:-4235;width:5477;height:4126" type="#_x0000_t75" id="docshape3" stroked="false">
                  <v:imagedata r:id="rId7" o:title=""/>
                </v:shape>
                <v:rect style="position:absolute;left:6117;top:-4235;width:5477;height:4126" id="docshape4" filled="true" fillcolor="#262424" stroked="false">
                  <v:fill type="solid"/>
                </v:rect>
                <v:shape style="position:absolute;left:7346;top:-2501;width:3020;height:505" id="docshape5" coordorigin="7347,-2501" coordsize="3020,505" path="m10366,-2004l7347,-2004,7347,-1996,10366,-1996,10366,-2004xm10366,-2501l7347,-2501,7347,-2493,10366,-2493,10366,-2501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345;top:-3456;width:3042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SAMUEL S.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EFIRD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47;top:-1729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345;top:-1477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602.916.5340</w:t>
                        </w:r>
                      </w:p>
                    </w:txbxContent>
                  </v:textbox>
                  <w10:wrap type="none"/>
                </v:shape>
                <v:shape style="position:absolute;left:9147;top:-1477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602.916.5540</w:t>
                        </w:r>
                      </w:p>
                    </w:txbxContent>
                  </v:textbox>
                  <w10:wrap type="none"/>
                </v:shape>
                <v:shape style="position:absolute;left:7797;top:-1151;width:213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sefird@fennemorelaw.com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color w:val="002E6B"/>
          <w:sz w:val="24"/>
        </w:rPr>
        <w:t>SAMUEL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z w:val="24"/>
        </w:rPr>
        <w:t>S.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EFIRD</w:t>
      </w:r>
    </w:p>
    <w:p>
      <w:pPr>
        <w:pStyle w:val="BodyText"/>
        <w:spacing w:line="295" w:lineRule="auto" w:before="146"/>
        <w:ind w:left="124" w:right="373"/>
      </w:pPr>
      <w:r>
        <w:rPr>
          <w:color w:val="6E6158"/>
        </w:rPr>
        <w:t>Sam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member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firm’s</w:t>
      </w:r>
      <w:r>
        <w:rPr>
          <w:color w:val="6E6158"/>
          <w:spacing w:val="25"/>
        </w:rPr>
        <w:t> </w:t>
      </w:r>
      <w:r>
        <w:rPr>
          <w:color w:val="6E6158"/>
        </w:rPr>
        <w:t>business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finance</w:t>
      </w:r>
      <w:r>
        <w:rPr>
          <w:color w:val="6E6158"/>
          <w:spacing w:val="25"/>
        </w:rPr>
        <w:t> </w:t>
      </w:r>
      <w:r>
        <w:rPr>
          <w:color w:val="6E6158"/>
        </w:rPr>
        <w:t>practice</w:t>
      </w:r>
      <w:r>
        <w:rPr>
          <w:color w:val="6E6158"/>
          <w:spacing w:val="25"/>
        </w:rPr>
        <w:t> </w:t>
      </w:r>
      <w:r>
        <w:rPr>
          <w:color w:val="6E6158"/>
        </w:rPr>
        <w:t>group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focuses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general</w:t>
      </w:r>
      <w:r>
        <w:rPr>
          <w:color w:val="6E6158"/>
          <w:spacing w:val="25"/>
        </w:rPr>
        <w:t> </w:t>
      </w:r>
      <w:r>
        <w:rPr>
          <w:color w:val="6E6158"/>
        </w:rPr>
        <w:t>corporate</w:t>
      </w:r>
      <w:r>
        <w:rPr>
          <w:color w:val="6E6158"/>
          <w:spacing w:val="25"/>
        </w:rPr>
        <w:t> </w:t>
      </w:r>
      <w:r>
        <w:rPr>
          <w:color w:val="6E6158"/>
        </w:rPr>
        <w:t>law, entity formation and governance, mergers and acquisitions, and venture capital transactions. He also helps</w:t>
      </w:r>
      <w:r>
        <w:rPr>
          <w:color w:val="6E6158"/>
          <w:spacing w:val="80"/>
        </w:rPr>
        <w:t> </w:t>
      </w:r>
      <w:r>
        <w:rPr>
          <w:color w:val="6E6158"/>
        </w:rPr>
        <w:t>clients navigate the tax implications of their business activities, particularly as it relates to forming and operating</w:t>
      </w:r>
      <w:r>
        <w:rPr>
          <w:color w:val="6E6158"/>
          <w:spacing w:val="80"/>
        </w:rPr>
        <w:t> </w:t>
      </w:r>
      <w:r>
        <w:rPr>
          <w:color w:val="6E6158"/>
        </w:rPr>
        <w:t>partnerships and limited liability companies.</w:t>
      </w:r>
    </w:p>
    <w:p>
      <w:pPr>
        <w:pStyle w:val="BodyText"/>
        <w:spacing w:line="292" w:lineRule="auto" w:before="205"/>
        <w:ind w:left="124" w:right="373"/>
      </w:pPr>
      <w:r>
        <w:rPr>
          <w:color w:val="6E6158"/>
        </w:rPr>
        <w:t>Prior to joining Fennemore, Sam worked for the United States Senate and Arizona Chamber of Commerce and</w:t>
      </w:r>
      <w:r>
        <w:rPr>
          <w:color w:val="6E6158"/>
          <w:spacing w:val="80"/>
        </w:rPr>
        <w:t> </w:t>
      </w:r>
      <w:r>
        <w:rPr>
          <w:color w:val="6E6158"/>
        </w:rPr>
        <w:t>Industry. He also externed with the State of Arizona Governor’s Office of General Counsel and the Maricopa</w:t>
      </w:r>
      <w:r>
        <w:rPr>
          <w:color w:val="6E6158"/>
          <w:spacing w:val="80"/>
        </w:rPr>
        <w:t> </w:t>
      </w:r>
      <w:r>
        <w:rPr>
          <w:color w:val="6E6158"/>
        </w:rPr>
        <w:t>County Attorney’s Office.</w:t>
      </w:r>
    </w:p>
    <w:p>
      <w:pPr>
        <w:pStyle w:val="BodyText"/>
        <w:spacing w:line="302" w:lineRule="auto" w:before="197"/>
        <w:ind w:left="124" w:right="373"/>
      </w:pPr>
      <w:r>
        <w:rPr>
          <w:color w:val="6E6158"/>
        </w:rPr>
        <w:t>Outside of work, Sam enjoys spending time with his wife and their two dogs, watching college sports, reading,</w:t>
      </w:r>
      <w:r>
        <w:rPr>
          <w:color w:val="6E6158"/>
          <w:spacing w:val="80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exploring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outdoors.</w:t>
      </w:r>
      <w:r>
        <w:rPr>
          <w:color w:val="6E6158"/>
          <w:spacing w:val="24"/>
        </w:rPr>
        <w:t> </w:t>
      </w:r>
      <w:r>
        <w:rPr>
          <w:color w:val="6E6158"/>
        </w:rPr>
        <w:t>Sam</w:t>
      </w:r>
      <w:r>
        <w:rPr>
          <w:color w:val="6E6158"/>
          <w:spacing w:val="24"/>
        </w:rPr>
        <w:t> </w:t>
      </w:r>
      <w:r>
        <w:rPr>
          <w:color w:val="6E6158"/>
        </w:rPr>
        <w:t>also</w:t>
      </w:r>
      <w:r>
        <w:rPr>
          <w:color w:val="6E6158"/>
          <w:spacing w:val="24"/>
        </w:rPr>
        <w:t> </w:t>
      </w:r>
      <w:r>
        <w:rPr>
          <w:color w:val="6E6158"/>
        </w:rPr>
        <w:t>serves</w:t>
      </w:r>
      <w:r>
        <w:rPr>
          <w:color w:val="6E6158"/>
          <w:spacing w:val="24"/>
        </w:rPr>
        <w:t> </w:t>
      </w:r>
      <w:r>
        <w:rPr>
          <w:color w:val="6E6158"/>
        </w:rPr>
        <w:t>on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board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a</w:t>
      </w:r>
      <w:r>
        <w:rPr>
          <w:color w:val="6E6158"/>
          <w:spacing w:val="24"/>
        </w:rPr>
        <w:t> </w:t>
      </w:r>
      <w:r>
        <w:rPr>
          <w:color w:val="6E6158"/>
        </w:rPr>
        <w:t>local</w:t>
      </w:r>
      <w:r>
        <w:rPr>
          <w:color w:val="6E6158"/>
          <w:spacing w:val="24"/>
        </w:rPr>
        <w:t> </w:t>
      </w:r>
      <w:r>
        <w:rPr>
          <w:color w:val="6E6158"/>
        </w:rPr>
        <w:t>charter</w:t>
      </w:r>
      <w:r>
        <w:rPr>
          <w:color w:val="6E6158"/>
          <w:spacing w:val="24"/>
        </w:rPr>
        <w:t> </w:t>
      </w:r>
      <w:r>
        <w:rPr>
          <w:color w:val="6E6158"/>
        </w:rPr>
        <w:t>school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its</w:t>
      </w:r>
      <w:r>
        <w:rPr>
          <w:color w:val="6E6158"/>
          <w:spacing w:val="24"/>
        </w:rPr>
        <w:t> </w:t>
      </w:r>
      <w:r>
        <w:rPr>
          <w:color w:val="6E6158"/>
        </w:rPr>
        <w:t>management</w:t>
      </w:r>
    </w:p>
    <w:p>
      <w:pPr>
        <w:pStyle w:val="BodyText"/>
        <w:spacing w:line="224" w:lineRule="exact"/>
        <w:ind w:left="124"/>
      </w:pPr>
      <w:r>
        <w:rPr>
          <w:color w:val="6E6158"/>
          <w:spacing w:val="-2"/>
        </w:rPr>
        <w:t>company.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116742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92312pt;width:1.65pt;height:1.65pt;mso-position-horizontal-relative:page;mso-position-vertical-relative:paragraph;z-index:15729152" id="docshape11" coordorigin="975,184" coordsize="33,33" path="m996,216l987,216,983,215,977,208,975,205,975,196,977,192,983,185,987,184,996,184,1000,185,1006,192,1008,196,1008,200,1008,205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University,</w:t>
      </w:r>
      <w:r>
        <w:rPr>
          <w:color w:val="6E6158"/>
          <w:spacing w:val="7"/>
        </w:rPr>
        <w:t> </w:t>
      </w:r>
      <w:r>
        <w:rPr>
          <w:color w:val="6E6158"/>
        </w:rPr>
        <w:t>Sandra</w:t>
      </w:r>
      <w:r>
        <w:rPr>
          <w:color w:val="6E6158"/>
          <w:spacing w:val="8"/>
        </w:rPr>
        <w:t> </w:t>
      </w:r>
      <w:r>
        <w:rPr>
          <w:color w:val="6E6158"/>
        </w:rPr>
        <w:t>Day</w:t>
      </w:r>
      <w:r>
        <w:rPr>
          <w:color w:val="6E6158"/>
          <w:spacing w:val="8"/>
        </w:rPr>
        <w:t> </w:t>
      </w:r>
      <w:r>
        <w:rPr>
          <w:color w:val="6E6158"/>
        </w:rPr>
        <w:t>O’Connor</w:t>
      </w:r>
      <w:r>
        <w:rPr>
          <w:color w:val="6E6158"/>
          <w:spacing w:val="7"/>
        </w:rPr>
        <w:t> </w:t>
      </w:r>
      <w:r>
        <w:rPr>
          <w:color w:val="6E6158"/>
        </w:rPr>
        <w:t>College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</w:rPr>
        <w:t>Law,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5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619132</wp:posOffset>
                </wp:positionH>
                <wp:positionV relativeFrom="paragraph">
                  <wp:posOffset>137568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832194pt;width:1.65pt;height:1.65pt;mso-position-horizontal-relative:page;mso-position-vertical-relative:paragraph;z-index:15729664" id="docshape12" coordorigin="975,217" coordsize="33,33" path="m996,249l987,249,983,248,977,241,975,237,975,228,977,225,983,218,987,217,996,217,1000,218,1006,225,1008,228,1008,233,1008,237,1006,241,1000,248,9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9"/>
        </w:rPr>
        <w:t> </w:t>
      </w:r>
      <w:r>
        <w:rPr>
          <w:color w:val="6E6158"/>
        </w:rPr>
        <w:t>Finance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9"/>
        </w:rPr>
        <w:t> </w:t>
      </w:r>
      <w:r>
        <w:rPr>
          <w:color w:val="6E6158"/>
        </w:rPr>
        <w:t>Entrepreneurship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Arizona,</w:t>
      </w:r>
      <w:r>
        <w:rPr>
          <w:color w:val="6E6158"/>
          <w:spacing w:val="9"/>
        </w:rPr>
        <w:t> </w:t>
      </w:r>
      <w:r>
        <w:rPr>
          <w:color w:val="6E6158"/>
        </w:rPr>
        <w:t>Eller</w:t>
      </w:r>
      <w:r>
        <w:rPr>
          <w:color w:val="6E6158"/>
          <w:spacing w:val="10"/>
        </w:rPr>
        <w:t> </w:t>
      </w:r>
      <w:r>
        <w:rPr>
          <w:color w:val="6E6158"/>
        </w:rPr>
        <w:t>College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Management,</w:t>
      </w:r>
      <w:r>
        <w:rPr>
          <w:color w:val="6E6158"/>
          <w:spacing w:val="11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6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7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line="420" w:lineRule="auto" w:before="172"/>
        <w:ind w:right="84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619132</wp:posOffset>
                </wp:positionH>
                <wp:positionV relativeFrom="paragraph">
                  <wp:posOffset>132273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15201pt;width:1.65pt;height:1.65pt;mso-position-horizontal-relative:page;mso-position-vertical-relative:paragraph;z-index:15730176" id="docshape13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390638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758951pt;width:1.65pt;height:1.65pt;mso-position-horizontal-relative:page;mso-position-vertical-relative:paragraph;z-index:15730688" id="docshape14" coordorigin="975,615" coordsize="33,33" path="m996,648l987,648,983,646,977,640,975,636,975,627,977,623,983,617,987,615,996,615,1000,617,1006,623,1008,627,1008,631,1008,636,1006,640,1000,646,996,6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Order of the Coif Order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Barristers</w:t>
      </w:r>
    </w:p>
    <w:p>
      <w:pPr>
        <w:spacing w:line="417" w:lineRule="auto" w:before="0"/>
        <w:ind w:left="377" w:right="3713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22043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35732pt;width:1.65pt;height:1.65pt;mso-position-horizontal-relative:page;mso-position-vertical-relative:paragraph;z-index:15731200" id="docshape15" coordorigin="975,35" coordsize="33,33" path="m996,67l987,67,983,66,977,59,975,55,975,46,977,43,983,36,987,35,996,35,1000,36,1006,43,1008,46,1008,51,1008,55,1006,59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285576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86357pt;width:1.65pt;height:1.65pt;mso-position-horizontal-relative:page;mso-position-vertical-relative:paragraph;z-index:15731712" id="docshape16" coordorigin="975,450" coordsize="33,33" path="m996,482l987,482,983,481,977,474,975,470,975,462,977,458,983,451,987,450,996,450,1000,451,1006,458,1008,462,1008,466,1008,470,1006,474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Chairman, Arizona State University, Executive Moot Court </w:t>
      </w:r>
      <w:r>
        <w:rPr>
          <w:color w:val="6E6158"/>
          <w:sz w:val="19"/>
        </w:rPr>
        <w:t>Board Associate Editor, </w:t>
      </w:r>
      <w:r>
        <w:rPr>
          <w:i/>
          <w:color w:val="6E6158"/>
          <w:sz w:val="20"/>
        </w:rPr>
        <w:t>Arizona State University Law Journal</w:t>
      </w:r>
    </w:p>
    <w:p>
      <w:pPr>
        <w:pStyle w:val="Heading1"/>
        <w:spacing w:before="149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right="84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116525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5265pt;width:1.65pt;height:1.65pt;mso-position-horizontal-relative:page;mso-position-vertical-relative:paragraph;z-index:15732224" id="docshape17" coordorigin="975,184" coordsize="33,33" path="m996,216l987,216,983,214,977,208,975,204,975,195,977,191,983,185,987,184,996,184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374891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9.519014pt;width:1.65pt;height:1.65pt;mso-position-horizontal-relative:page;mso-position-vertical-relative:paragraph;z-index:15732736" id="docshape18" coordorigin="975,590" coordsize="33,33" path="m996,623l987,623,983,621,977,615,975,611,975,602,977,598,983,592,987,590,996,590,1000,592,1006,598,1008,602,1008,607,1008,611,1006,615,1000,621,996,6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&amp; </w:t>
      </w:r>
      <w:r>
        <w:rPr>
          <w:color w:val="6E6158"/>
        </w:rPr>
        <w:t>Finance Tax Law</w:t>
      </w:r>
    </w:p>
    <w:p>
      <w:pPr>
        <w:pStyle w:val="BodyText"/>
        <w:spacing w:line="427" w:lineRule="auto"/>
        <w:ind w:right="6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22171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45796pt;width:1.65pt;height:1.65pt;mso-position-horizontal-relative:page;mso-position-vertical-relative:paragraph;z-index:15733248" id="docshape19" coordorigin="975,35" coordsize="33,33" path="m996,67l987,67,983,66,977,60,975,56,975,47,977,43,983,37,987,35,996,35,1000,37,1006,43,1008,47,1008,51,1008,56,1006,60,1000,66,996,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285704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49642pt;width:1.65pt;height:1.65pt;mso-position-horizontal-relative:page;mso-position-vertical-relative:paragraph;z-index:15733760" id="docshape20" coordorigin="975,450" coordsize="33,33" path="m996,482l987,482,983,481,977,475,975,471,975,462,977,458,983,452,987,450,996,450,1000,452,1006,458,1008,462,1008,466,1008,471,1006,475,1000,481,996,4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Venture Accelerator</w:t>
      </w:r>
    </w:p>
    <w:p>
      <w:pPr>
        <w:pStyle w:val="BodyText"/>
        <w:spacing w:line="420" w:lineRule="auto"/>
        <w:ind w:right="84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17454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37434pt;width:1.65pt;height:1.65pt;mso-position-horizontal-relative:page;mso-position-vertical-relative:paragraph;z-index:15734272" id="docshape21" coordorigin="975,27" coordsize="33,33" path="m996,60l987,60,983,58,977,52,975,48,975,39,977,35,983,29,987,27,996,27,1000,29,1006,35,1008,39,1008,44,1008,48,1006,52,1000,58,996,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275819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1.718088pt;width:1.65pt;height:1.65pt;mso-position-horizontal-relative:page;mso-position-vertical-relative:paragraph;z-index:15734784" id="docshape22" coordorigin="975,434" coordsize="33,33" path="m996,467l987,467,983,465,977,459,975,455,975,446,977,442,983,436,987,434,996,434,1000,436,1006,442,1008,446,1008,451,1008,455,1006,459,1000,465,996,46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 Planning 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420" w:lineRule="auto" w:before="88"/>
        <w:ind w:right="84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5009pt;width:1.65pt;height:1.65pt;mso-position-horizontal-relative:page;mso-position-vertical-relative:paragraph;z-index:15735808" id="docshape23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337804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759pt;width:1.65pt;height:1.65pt;mso-position-horizontal-relative:page;mso-position-vertical-relative:paragraph;z-index:15736320" id="docshape24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Cannabis </w:t>
      </w:r>
      <w:r>
        <w:rPr>
          <w:color w:val="6E6158"/>
        </w:rPr>
        <w:t>Business</w:t>
      </w:r>
    </w:p>
    <w:p>
      <w:pPr>
        <w:pStyle w:val="Heading1"/>
        <w:spacing w:before="46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116524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5148pt;width:1.65pt;height:1.65pt;mso-position-horizontal-relative:page;mso-position-vertical-relative:paragraph;z-index:15736832" id="docshape25" coordorigin="975,184" coordsize="33,33" path="m996,216l987,216,983,214,977,208,975,204,975,195,977,191,983,185,987,184,996,184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Fortune</w:t>
      </w:r>
      <w:r>
        <w:rPr>
          <w:color w:val="6E6158"/>
          <w:spacing w:val="14"/>
        </w:rPr>
        <w:t> </w:t>
      </w:r>
      <w:r>
        <w:rPr>
          <w:color w:val="6E6158"/>
        </w:rPr>
        <w:t>500</w:t>
      </w:r>
      <w:r>
        <w:rPr>
          <w:color w:val="6E6158"/>
          <w:spacing w:val="14"/>
        </w:rPr>
        <w:t> </w:t>
      </w:r>
      <w:r>
        <w:rPr>
          <w:color w:val="6E6158"/>
        </w:rPr>
        <w:t>company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general</w:t>
      </w:r>
      <w:r>
        <w:rPr>
          <w:color w:val="6E6158"/>
          <w:spacing w:val="14"/>
        </w:rPr>
        <w:t> </w:t>
      </w:r>
      <w:r>
        <w:rPr>
          <w:color w:val="6E6158"/>
        </w:rPr>
        <w:t>corporate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contract</w:t>
      </w:r>
      <w:r>
        <w:rPr>
          <w:color w:val="6E6158"/>
          <w:spacing w:val="14"/>
        </w:rPr>
        <w:t> </w:t>
      </w:r>
      <w:r>
        <w:rPr>
          <w:color w:val="6E6158"/>
        </w:rPr>
        <w:t>negotiation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matters.</w:t>
      </w:r>
    </w:p>
    <w:p>
      <w:pPr>
        <w:pStyle w:val="BodyText"/>
        <w:spacing w:line="292" w:lineRule="auto" w:before="174"/>
        <w:ind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133619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1193pt;width:1.65pt;height:1.65pt;mso-position-horizontal-relative:page;mso-position-vertical-relative:paragraph;z-index:15737344" id="docshape26" coordorigin="975,210" coordsize="33,33" path="m996,243l987,243,983,241,977,235,975,231,975,222,977,218,983,212,987,210,996,210,1000,212,1006,218,1008,222,1008,227,1008,231,1006,235,1000,241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numerous clients in the formation and funding of new entities, as well as drafting their</w:t>
      </w:r>
      <w:r>
        <w:rPr>
          <w:color w:val="6E6158"/>
          <w:spacing w:val="40"/>
        </w:rPr>
        <w:t> </w:t>
      </w:r>
      <w:r>
        <w:rPr>
          <w:color w:val="6E6158"/>
        </w:rPr>
        <w:t>governance documents.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101411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5166pt;width:1.65pt;height:1.65pt;mso-position-horizontal-relative:page;mso-position-vertical-relative:paragraph;z-index:15737856" id="docshape27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venture</w:t>
      </w:r>
      <w:r>
        <w:rPr>
          <w:color w:val="6E6158"/>
          <w:spacing w:val="13"/>
        </w:rPr>
        <w:t> </w:t>
      </w:r>
      <w:r>
        <w:rPr>
          <w:color w:val="6E6158"/>
        </w:rPr>
        <w:t>capital</w:t>
      </w:r>
      <w:r>
        <w:rPr>
          <w:color w:val="6E6158"/>
          <w:spacing w:val="13"/>
        </w:rPr>
        <w:t> </w:t>
      </w:r>
      <w:r>
        <w:rPr>
          <w:color w:val="6E6158"/>
        </w:rPr>
        <w:t>firm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various</w:t>
      </w:r>
      <w:r>
        <w:rPr>
          <w:color w:val="6E6158"/>
          <w:spacing w:val="13"/>
        </w:rPr>
        <w:t> </w:t>
      </w:r>
      <w:r>
        <w:rPr>
          <w:color w:val="6E6158"/>
        </w:rPr>
        <w:t>convertible</w:t>
      </w:r>
      <w:r>
        <w:rPr>
          <w:color w:val="6E6158"/>
          <w:spacing w:val="13"/>
        </w:rPr>
        <w:t> </w:t>
      </w:r>
      <w:r>
        <w:rPr>
          <w:color w:val="6E6158"/>
        </w:rPr>
        <w:t>debt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investments.</w:t>
      </w:r>
    </w:p>
    <w:p>
      <w:pPr>
        <w:pStyle w:val="BodyText"/>
        <w:spacing w:line="292" w:lineRule="auto" w:before="182"/>
        <w:ind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138913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38085pt;width:1.65pt;height:1.65pt;mso-position-horizontal-relative:page;mso-position-vertical-relative:paragraph;z-index:15738368" id="docshape28" coordorigin="975,219" coordsize="33,33" path="m996,251l987,251,983,250,977,243,975,240,975,231,977,227,983,220,987,219,996,219,1000,220,1006,227,1008,231,1008,235,1008,240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private equity fund in the acquisition and sale of operating companies and related real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estate.</w:t>
      </w:r>
    </w:p>
    <w:p>
      <w:pPr>
        <w:pStyle w:val="BodyText"/>
        <w:spacing w:line="420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101626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02058pt;width:1.65pt;height:1.65pt;mso-position-horizontal-relative:page;mso-position-vertical-relative:paragraph;z-index:15738880" id="docshape29" coordorigin="975,160" coordsize="33,33" path="m996,193l987,193,983,191,977,185,975,181,975,172,977,168,983,162,987,160,996,160,1000,162,1006,168,1008,172,1008,176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359991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345808pt;width:1.65pt;height:1.65pt;mso-position-horizontal-relative:page;mso-position-vertical-relative:paragraph;z-index:15739392" id="docshape30" coordorigin="975,567" coordsize="33,33" path="m996,599l987,599,983,598,977,592,975,588,975,579,977,575,983,569,987,567,996,567,1000,569,1006,575,1008,579,1008,583,1008,588,1006,592,1000,598,996,59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private foundation regarding the tax implications of certain investments and </w:t>
      </w:r>
      <w:r>
        <w:rPr>
          <w:color w:val="6E6158"/>
        </w:rPr>
        <w:t>operations.</w:t>
      </w:r>
      <w:r>
        <w:rPr>
          <w:color w:val="6E6158"/>
          <w:spacing w:val="40"/>
        </w:rPr>
        <w:t> </w:t>
      </w:r>
      <w:r>
        <w:rPr>
          <w:color w:val="6E6158"/>
        </w:rPr>
        <w:t>Represented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commercial</w:t>
      </w:r>
      <w:r>
        <w:rPr>
          <w:color w:val="6E6158"/>
          <w:spacing w:val="32"/>
        </w:rPr>
        <w:t> </w:t>
      </w:r>
      <w:r>
        <w:rPr>
          <w:color w:val="6E6158"/>
        </w:rPr>
        <w:t>development</w:t>
      </w:r>
      <w:r>
        <w:rPr>
          <w:color w:val="6E6158"/>
          <w:spacing w:val="32"/>
        </w:rPr>
        <w:t> </w:t>
      </w:r>
      <w:r>
        <w:rPr>
          <w:color w:val="6E6158"/>
        </w:rPr>
        <w:t>company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an</w:t>
      </w:r>
      <w:r>
        <w:rPr>
          <w:color w:val="6E6158"/>
          <w:spacing w:val="32"/>
        </w:rPr>
        <w:t> </w:t>
      </w:r>
      <w:r>
        <w:rPr>
          <w:color w:val="6E6158"/>
        </w:rPr>
        <w:t>asset</w:t>
      </w:r>
      <w:r>
        <w:rPr>
          <w:color w:val="6E6158"/>
          <w:spacing w:val="32"/>
        </w:rPr>
        <w:t> </w:t>
      </w:r>
      <w:r>
        <w:rPr>
          <w:color w:val="6E6158"/>
        </w:rPr>
        <w:t>purchase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national</w:t>
      </w:r>
      <w:r>
        <w:rPr>
          <w:color w:val="6E6158"/>
          <w:spacing w:val="32"/>
        </w:rPr>
        <w:t> </w:t>
      </w:r>
      <w:r>
        <w:rPr>
          <w:color w:val="6E6158"/>
        </w:rPr>
        <w:t>competitor.</w:t>
      </w:r>
    </w:p>
    <w:p>
      <w:pPr>
        <w:pStyle w:val="BodyText"/>
        <w:spacing w:line="292" w:lineRule="auto"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27679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79464pt;width:1.65pt;height:1.65pt;mso-position-horizontal-relative:page;mso-position-vertical-relative:paragraph;z-index:15739904" id="docshape31" coordorigin="975,44" coordsize="33,33" path="m996,76l987,76,983,75,977,68,975,64,975,55,977,52,983,45,987,44,996,44,1000,45,1006,52,1008,55,1008,60,1008,64,1006,68,1000,75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medical supply and pharmaceutical company in a merger transaction with an </w:t>
      </w:r>
      <w:r>
        <w:rPr>
          <w:color w:val="6E6158"/>
        </w:rPr>
        <w:t>international</w:t>
      </w:r>
      <w:r>
        <w:rPr>
          <w:color w:val="6E6158"/>
          <w:spacing w:val="80"/>
        </w:rPr>
        <w:t> </w:t>
      </w:r>
      <w:r>
        <w:rPr>
          <w:color w:val="6E6158"/>
          <w:spacing w:val="-2"/>
        </w:rPr>
        <w:t>buyer.</w:t>
      </w:r>
    </w:p>
    <w:p>
      <w:pPr>
        <w:pStyle w:val="BodyText"/>
        <w:spacing w:line="427" w:lineRule="auto" w:before="123"/>
        <w:ind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101516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3437pt;width:1.65pt;height:1.65pt;mso-position-horizontal-relative:page;mso-position-vertical-relative:paragraph;z-index:15740416" id="docshape32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619132</wp:posOffset>
                </wp:positionH>
                <wp:positionV relativeFrom="paragraph">
                  <wp:posOffset>365049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8.744062pt;width:1.65pt;height:1.65pt;mso-position-horizontal-relative:page;mso-position-vertical-relative:paragraph;z-index:15740928" id="docshape33" coordorigin="975,575" coordsize="33,33" path="m996,607l987,607,983,606,977,599,975,596,975,587,977,583,983,576,987,575,996,575,1000,576,1006,583,1008,587,1008,591,1008,596,1006,599,1000,606,996,6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medical services company in connection with its purchase by an international buyer.</w:t>
      </w:r>
      <w:r>
        <w:rPr>
          <w:color w:val="6E6158"/>
          <w:spacing w:val="40"/>
        </w:rPr>
        <w:t> </w:t>
      </w:r>
      <w:r>
        <w:rPr>
          <w:color w:val="6E6158"/>
        </w:rPr>
        <w:t>Represented medical professionals in the structure and sale of their operations.</w:t>
      </w:r>
    </w:p>
    <w:p>
      <w:pPr>
        <w:pStyle w:val="Heading1"/>
        <w:spacing w:before="15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116431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7839pt;width:1.65pt;height:1.65pt;mso-position-horizontal-relative:page;mso-position-vertical-relative:paragraph;z-index:15741440" id="docshape34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in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America®</w:t>
      </w:r>
      <w:r>
        <w:rPr>
          <w:color w:val="6E6158"/>
          <w:sz w:val="19"/>
        </w:rPr>
        <w:t>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Tax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2022-</w:t>
      </w:r>
      <w:r>
        <w:rPr>
          <w:color w:val="6E6158"/>
          <w:spacing w:val="-4"/>
          <w:sz w:val="19"/>
        </w:rPr>
        <w:t>2025</w:t>
      </w:r>
    </w:p>
    <w:p>
      <w:pPr>
        <w:pStyle w:val="BodyText"/>
        <w:spacing w:before="1"/>
        <w:ind w:left="0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619132</wp:posOffset>
                </wp:positionH>
                <wp:positionV relativeFrom="paragraph">
                  <wp:posOffset>132725</wp:posOffset>
                </wp:positionV>
                <wp:extent cx="20955" cy="2095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50846pt;width:1.65pt;height:1.65pt;mso-position-horizontal-relative:page;mso-position-vertical-relative:paragraph;z-index:-15721984;mso-wrap-distance-left:0;mso-wrap-distance-right:0" id="docshape35" coordorigin="975,209" coordsize="33,33" path="m996,242l987,242,983,240,977,234,975,230,975,221,977,217,983,211,987,209,996,209,1000,211,1006,217,1008,221,1008,225,1008,230,1006,234,1000,240,996,242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before="0"/>
        <w:ind w:left="377" w:right="0" w:firstLine="0"/>
        <w:jc w:val="left"/>
        <w:rPr>
          <w:sz w:val="19"/>
        </w:rPr>
      </w:pPr>
      <w:r>
        <w:rPr>
          <w:i/>
          <w:color w:val="6E6158"/>
          <w:sz w:val="20"/>
        </w:rPr>
        <w:t>Southwest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4"/>
          <w:sz w:val="20"/>
        </w:rPr>
        <w:t> </w:t>
      </w:r>
      <w:r>
        <w:rPr>
          <w:color w:val="6E6158"/>
          <w:sz w:val="19"/>
        </w:rPr>
        <w:t>Business/Corporate,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2016-</w:t>
      </w:r>
      <w:r>
        <w:rPr>
          <w:color w:val="6E6158"/>
          <w:spacing w:val="-4"/>
          <w:sz w:val="19"/>
        </w:rPr>
        <w:t>2021</w:t>
      </w:r>
    </w:p>
    <w:p>
      <w:pPr>
        <w:pStyle w:val="Heading1"/>
        <w:spacing w:before="256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121887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597459pt;width:1.65pt;height:1.65pt;mso-position-horizontal-relative:page;mso-position-vertical-relative:paragraph;z-index:15741952" id="docshape36" coordorigin="975,192" coordsize="33,33" path="m996,224l987,224,983,223,977,217,975,213,975,204,977,200,983,194,987,192,996,192,1000,194,1006,200,1008,204,1008,208,1008,213,1006,217,1000,223,996,2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1">
        <w:r>
          <w:rPr>
            <w:color w:val="F5821F"/>
          </w:rPr>
          <w:t>Interview, “If you dread going into work at the start of each week, get a different job,” Fennemore Blog,</w:t>
        </w:r>
      </w:hyperlink>
      <w:r>
        <w:rPr>
          <w:color w:val="F5821F"/>
          <w:spacing w:val="80"/>
        </w:rPr>
        <w:t> </w:t>
      </w:r>
      <w:hyperlink r:id="rId11">
        <w:r>
          <w:rPr>
            <w:color w:val="F5821F"/>
          </w:rPr>
          <w:t>December 2, 2021</w:t>
        </w:r>
      </w:hyperlink>
    </w:p>
    <w:p>
      <w:pPr>
        <w:pStyle w:val="BodyText"/>
        <w:spacing w:line="292" w:lineRule="auto" w:before="123"/>
        <w:ind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619132</wp:posOffset>
                </wp:positionH>
                <wp:positionV relativeFrom="paragraph">
                  <wp:posOffset>101745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1433pt;width:1.65pt;height:1.65pt;mso-position-horizontal-relative:page;mso-position-vertical-relative:paragraph;z-index:15742464" id="docshape37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2">
        <w:r>
          <w:rPr>
            <w:color w:val="FF8100"/>
          </w:rPr>
          <w:t>Co-author, “Understanding the Emergency Family Medical Leave Expansion Act and Emergency Paid </w:t>
        </w:r>
        <w:r>
          <w:rPr>
            <w:color w:val="FF8100"/>
          </w:rPr>
          <w:t>Sick</w:t>
        </w:r>
      </w:hyperlink>
      <w:r>
        <w:rPr>
          <w:color w:val="FF8100"/>
          <w:spacing w:val="40"/>
        </w:rPr>
        <w:t> </w:t>
      </w:r>
      <w:hyperlink r:id="rId12">
        <w:r>
          <w:rPr>
            <w:color w:val="FF8100"/>
          </w:rPr>
          <w:t>Leave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the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Families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First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Coronavirus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Response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Act,”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March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20,</w:t>
        </w:r>
        <w:r>
          <w:rPr>
            <w:color w:val="FF8100"/>
            <w:spacing w:val="29"/>
          </w:rPr>
          <w:t> </w:t>
        </w:r>
        <w:r>
          <w:rPr>
            <w:color w:val="FF8100"/>
          </w:rPr>
          <w:t>2020</w:t>
        </w:r>
      </w:hyperlink>
    </w:p>
    <w:p>
      <w:pPr>
        <w:pStyle w:val="BodyText"/>
        <w:spacing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107089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32281pt;width:1.65pt;height:1.65pt;mso-position-horizontal-relative:page;mso-position-vertical-relative:paragraph;z-index:15742976" id="docshape38" coordorigin="975,169" coordsize="33,33" path="m996,201l987,201,983,200,977,193,975,189,975,180,977,177,983,170,987,169,996,169,1000,170,1006,177,1008,180,1008,185,1008,189,1006,193,1000,200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5"/>
        </w:rPr>
        <w:t> </w:t>
      </w:r>
      <w:r>
        <w:rPr>
          <w:color w:val="6E6158"/>
        </w:rPr>
        <w:t>“What</w:t>
      </w:r>
      <w:r>
        <w:rPr>
          <w:color w:val="6E6158"/>
          <w:spacing w:val="5"/>
        </w:rPr>
        <w:t> </w:t>
      </w:r>
      <w:r>
        <w:rPr>
          <w:color w:val="6E6158"/>
        </w:rPr>
        <w:t>You</w:t>
      </w:r>
      <w:r>
        <w:rPr>
          <w:color w:val="6E6158"/>
          <w:spacing w:val="6"/>
        </w:rPr>
        <w:t> </w:t>
      </w:r>
      <w:r>
        <w:rPr>
          <w:color w:val="6E6158"/>
        </w:rPr>
        <w:t>Need</w:t>
      </w:r>
      <w:r>
        <w:rPr>
          <w:color w:val="6E6158"/>
          <w:spacing w:val="5"/>
        </w:rPr>
        <w:t> </w:t>
      </w:r>
      <w:r>
        <w:rPr>
          <w:color w:val="6E6158"/>
        </w:rPr>
        <w:t>to</w:t>
      </w:r>
      <w:r>
        <w:rPr>
          <w:color w:val="6E6158"/>
          <w:spacing w:val="5"/>
        </w:rPr>
        <w:t> </w:t>
      </w:r>
      <w:r>
        <w:rPr>
          <w:color w:val="6E6158"/>
        </w:rPr>
        <w:t>Know</w:t>
      </w:r>
      <w:r>
        <w:rPr>
          <w:color w:val="6E6158"/>
          <w:spacing w:val="6"/>
        </w:rPr>
        <w:t> </w:t>
      </w:r>
      <w:r>
        <w:rPr>
          <w:color w:val="6E6158"/>
        </w:rPr>
        <w:t>About</w:t>
      </w:r>
      <w:r>
        <w:rPr>
          <w:color w:val="6E6158"/>
          <w:spacing w:val="5"/>
        </w:rPr>
        <w:t> </w:t>
      </w:r>
      <w:r>
        <w:rPr>
          <w:color w:val="6E6158"/>
        </w:rPr>
        <w:t>Opportunity</w:t>
      </w:r>
      <w:r>
        <w:rPr>
          <w:color w:val="6E6158"/>
          <w:spacing w:val="5"/>
        </w:rPr>
        <w:t> </w:t>
      </w:r>
      <w:r>
        <w:rPr>
          <w:color w:val="6E6158"/>
        </w:rPr>
        <w:t>Zone</w:t>
      </w:r>
      <w:r>
        <w:rPr>
          <w:color w:val="6E6158"/>
          <w:spacing w:val="6"/>
        </w:rPr>
        <w:t> </w:t>
      </w:r>
      <w:r>
        <w:rPr>
          <w:color w:val="6E6158"/>
        </w:rPr>
        <w:t>Funds,”</w:t>
      </w:r>
      <w:r>
        <w:rPr>
          <w:color w:val="6E6158"/>
          <w:spacing w:val="5"/>
        </w:rPr>
        <w:t> </w:t>
      </w:r>
      <w:r>
        <w:rPr>
          <w:i/>
          <w:color w:val="6E6158"/>
          <w:sz w:val="20"/>
        </w:rPr>
        <w:t>Daily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Press,</w:t>
      </w:r>
      <w:r>
        <w:rPr>
          <w:i/>
          <w:color w:val="6E6158"/>
          <w:spacing w:val="3"/>
          <w:sz w:val="20"/>
        </w:rPr>
        <w:t> </w:t>
      </w:r>
      <w:r>
        <w:rPr>
          <w:color w:val="6E6158"/>
        </w:rPr>
        <w:t>May</w:t>
      </w:r>
      <w:r>
        <w:rPr>
          <w:color w:val="6E6158"/>
          <w:spacing w:val="5"/>
        </w:rPr>
        <w:t> </w:t>
      </w:r>
      <w:r>
        <w:rPr>
          <w:color w:val="6E6158"/>
        </w:rPr>
        <w:t>5,</w:t>
      </w:r>
      <w:r>
        <w:rPr>
          <w:color w:val="6E6158"/>
          <w:spacing w:val="5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408" w:lineRule="auto" w:before="172"/>
        <w:ind w:right="27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619132</wp:posOffset>
                </wp:positionH>
                <wp:positionV relativeFrom="paragraph">
                  <wp:posOffset>132274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415288pt;width:1.65pt;height:1.65pt;mso-position-horizontal-relative:page;mso-position-vertical-relative:paragraph;z-index:15743488" id="docshape39" coordorigin="975,208" coordsize="33,33" path="m996,241l987,241,983,239,977,233,975,229,975,220,977,216,983,210,987,208,996,208,1000,210,1006,216,1008,220,1008,225,1008,229,1006,233,1000,239,996,2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390639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30.759037pt;width:1.65pt;height:1.65pt;mso-position-horizontal-relative:page;mso-position-vertical-relative:paragraph;z-index:15744000" id="docshape40" coordorigin="975,615" coordsize="33,33" path="m996,648l987,648,983,646,977,640,975,636,975,627,977,623,983,617,987,615,996,615,1000,617,1006,623,1008,627,1008,631,1008,636,1006,640,1000,646,996,6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3">
        <w:r>
          <w:rPr>
            <w:color w:val="FF8100"/>
          </w:rPr>
          <w:t>Co-author, “What You Need to Know About Opportunity Zone Funds,” Fennemore Client Alert, April 30, 2019</w:t>
        </w:r>
      </w:hyperlink>
      <w:r>
        <w:rPr>
          <w:color w:val="FF8100"/>
          <w:spacing w:val="40"/>
        </w:rPr>
        <w:t> </w:t>
      </w:r>
      <w:hyperlink r:id="rId14">
        <w:r>
          <w:rPr>
            <w:color w:val="FF8100"/>
          </w:rPr>
          <w:t>Co-author, “What You Need to Know About Opportunity Zone Funds,”</w:t>
        </w:r>
      </w:hyperlink>
      <w:r>
        <w:rPr>
          <w:color w:val="FF8100"/>
        </w:rPr>
        <w:t> </w:t>
      </w:r>
      <w:hyperlink r:id="rId14">
        <w:r>
          <w:rPr>
            <w:i/>
            <w:color w:val="FF8100"/>
            <w:sz w:val="20"/>
          </w:rPr>
          <w:t>Inside Sources</w:t>
        </w:r>
      </w:hyperlink>
      <w:hyperlink r:id="rId14">
        <w:r>
          <w:rPr>
            <w:color w:val="FF8100"/>
          </w:rPr>
          <w:t>, April 29, 2019</w:t>
        </w:r>
      </w:hyperlink>
    </w:p>
    <w:p>
      <w:pPr>
        <w:spacing w:line="285" w:lineRule="auto" w:before="0"/>
        <w:ind w:left="377" w:right="37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23602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58426pt;width:1.65pt;height:1.65pt;mso-position-horizontal-relative:page;mso-position-vertical-relative:paragraph;z-index:15744512" id="docshape41" coordorigin="975,37" coordsize="33,33" path="m996,70l987,70,983,68,977,62,975,58,975,49,977,45,983,39,987,37,996,37,1000,39,1006,45,1008,49,1008,53,1008,58,1006,62,1000,68,996,7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 “End-of-year Business Advice for Northern Nevada Businesses (Opinion),” </w:t>
      </w:r>
      <w:r>
        <w:rPr>
          <w:i/>
          <w:color w:val="6E6158"/>
          <w:sz w:val="20"/>
        </w:rPr>
        <w:t>Northern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z w:val="20"/>
        </w:rPr>
        <w:t> Business View, </w:t>
      </w:r>
      <w:r>
        <w:rPr>
          <w:color w:val="6E6158"/>
          <w:sz w:val="19"/>
        </w:rPr>
        <w:t>December 11, 2018</w:t>
      </w:r>
    </w:p>
    <w:p>
      <w:pPr>
        <w:pStyle w:val="BodyText"/>
        <w:spacing w:line="292" w:lineRule="auto" w:before="117"/>
        <w:ind w:right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619132</wp:posOffset>
                </wp:positionH>
                <wp:positionV relativeFrom="paragraph">
                  <wp:posOffset>97397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669108pt;width:1.65pt;height:1.65pt;mso-position-horizontal-relative:page;mso-position-vertical-relative:paragraph;z-index:15745024" id="docshape42" coordorigin="975,153" coordsize="33,33" path="m996,186l987,186,983,184,977,178,975,174,975,165,977,161,983,155,987,153,996,153,1000,155,1006,161,1008,165,1008,170,1008,174,1006,178,1000,184,9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5">
        <w:r>
          <w:rPr>
            <w:color w:val="FF8100"/>
          </w:rPr>
          <w:t>Co-author, “IRS Proposes Eliminating Charitable Deduction for Donations to State Tuition Tax </w:t>
        </w:r>
        <w:r>
          <w:rPr>
            <w:color w:val="FF8100"/>
          </w:rPr>
          <w:t>Credit</w:t>
        </w:r>
      </w:hyperlink>
      <w:r>
        <w:rPr>
          <w:color w:val="FF8100"/>
        </w:rPr>
        <w:t> </w:t>
      </w:r>
      <w:hyperlink r:id="rId15">
        <w:r>
          <w:rPr>
            <w:color w:val="FF8100"/>
          </w:rPr>
          <w:t>Programs,” Fennemore Client Alert, August 24, 2018</w:t>
        </w:r>
      </w:hyperlink>
    </w:p>
    <w:p>
      <w:pPr>
        <w:pStyle w:val="BodyText"/>
        <w:spacing w:line="302" w:lineRule="auto" w:before="123"/>
        <w:ind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619132</wp:posOffset>
                </wp:positionH>
                <wp:positionV relativeFrom="paragraph">
                  <wp:posOffset>101385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3081pt;width:1.65pt;height:1.65pt;mso-position-horizontal-relative:page;mso-position-vertical-relative:paragraph;z-index:15745536" id="docshape43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F8100"/>
          </w:rPr>
          <w:t>Co-author, “Qualified Opportunity Zones: A New Program Allowing Taxpayers to Defer or Eliminate </w:t>
        </w:r>
        <w:r>
          <w:rPr>
            <w:color w:val="FF8100"/>
          </w:rPr>
          <w:t>Capital</w:t>
        </w:r>
      </w:hyperlink>
      <w:r>
        <w:rPr>
          <w:color w:val="FF8100"/>
          <w:spacing w:val="40"/>
        </w:rPr>
        <w:t> </w:t>
      </w:r>
      <w:hyperlink r:id="rId16">
        <w:r>
          <w:rPr>
            <w:color w:val="FF8100"/>
          </w:rPr>
          <w:t>Gains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When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Investing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in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Economically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Disadvantaged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Areas,”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Fennemore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Client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Alert,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April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17,</w:t>
        </w:r>
        <w:r>
          <w:rPr>
            <w:color w:val="FF8100"/>
            <w:spacing w:val="33"/>
          </w:rPr>
          <w:t> </w:t>
        </w:r>
        <w:r>
          <w:rPr>
            <w:color w:val="FF8100"/>
          </w:rPr>
          <w:t>2018</w:t>
        </w:r>
      </w:hyperlink>
    </w:p>
    <w:p>
      <w:pPr>
        <w:pStyle w:val="BodyText"/>
        <w:spacing w:line="292" w:lineRule="auto" w:before="113"/>
        <w:ind w:right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619132</wp:posOffset>
                </wp:positionH>
                <wp:positionV relativeFrom="paragraph">
                  <wp:posOffset>94895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72113pt;width:1.65pt;height:1.65pt;mso-position-horizontal-relative:page;mso-position-vertical-relative:paragraph;z-index:15746048" id="docshape44" coordorigin="975,149" coordsize="33,33" path="m996,182l987,182,983,180,977,174,975,170,975,161,977,157,983,151,987,149,996,149,1000,151,1006,157,1008,161,1008,166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“Arizona’s New LLC Act: Promoting Certainty and Protecting Freedom of Contract: Part 1,” State</w:t>
      </w:r>
      <w:r>
        <w:rPr>
          <w:color w:val="6E6158"/>
          <w:spacing w:val="40"/>
        </w:rPr>
        <w:t> </w:t>
      </w:r>
      <w:r>
        <w:rPr>
          <w:color w:val="6E6158"/>
        </w:rPr>
        <w:t>Bar of Arizona 2018 Annual Convention, June 27, 2018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619132</wp:posOffset>
                </wp:positionH>
                <wp:positionV relativeFrom="paragraph">
                  <wp:posOffset>106590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392962pt;width:1.65pt;height:1.65pt;mso-position-horizontal-relative:page;mso-position-vertical-relative:paragraph;z-index:15746560" id="docshape45" coordorigin="975,168" coordsize="33,33" path="m996,200l987,200,983,199,977,192,975,189,975,180,977,176,983,169,987,168,996,168,1000,169,1006,176,1008,180,1008,184,1008,189,1006,192,1000,199,996,2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6"/>
        </w:rPr>
        <w:t> </w:t>
      </w:r>
      <w:r>
        <w:rPr>
          <w:color w:val="6E6158"/>
        </w:rPr>
        <w:t>“Phoenix</w:t>
      </w:r>
      <w:r>
        <w:rPr>
          <w:color w:val="6E6158"/>
          <w:spacing w:val="7"/>
        </w:rPr>
        <w:t> </w:t>
      </w:r>
      <w:r>
        <w:rPr>
          <w:color w:val="6E6158"/>
        </w:rPr>
        <w:t>Tax</w:t>
      </w:r>
      <w:r>
        <w:rPr>
          <w:color w:val="6E6158"/>
          <w:spacing w:val="7"/>
        </w:rPr>
        <w:t> </w:t>
      </w:r>
      <w:r>
        <w:rPr>
          <w:color w:val="6E6158"/>
        </w:rPr>
        <w:t>Workshop,”</w:t>
      </w:r>
      <w:r>
        <w:rPr>
          <w:color w:val="6E6158"/>
          <w:spacing w:val="7"/>
        </w:rPr>
        <w:t> </w:t>
      </w:r>
      <w:r>
        <w:rPr>
          <w:color w:val="6E6158"/>
        </w:rPr>
        <w:t>Arizona</w:t>
      </w:r>
      <w:r>
        <w:rPr>
          <w:color w:val="6E6158"/>
          <w:spacing w:val="7"/>
        </w:rPr>
        <w:t> </w:t>
      </w:r>
      <w:r>
        <w:rPr>
          <w:color w:val="6E6158"/>
        </w:rPr>
        <w:t>Society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CPAs,</w:t>
      </w:r>
      <w:r>
        <w:rPr>
          <w:color w:val="6E6158"/>
          <w:spacing w:val="7"/>
        </w:rPr>
        <w:t> </w:t>
      </w:r>
      <w:r>
        <w:rPr>
          <w:color w:val="6E6158"/>
        </w:rPr>
        <w:t>June</w:t>
      </w:r>
      <w:r>
        <w:rPr>
          <w:color w:val="6E6158"/>
          <w:spacing w:val="7"/>
        </w:rPr>
        <w:t> </w:t>
      </w:r>
      <w:r>
        <w:rPr>
          <w:color w:val="6E6158"/>
        </w:rPr>
        <w:t>16,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619132</wp:posOffset>
                </wp:positionH>
                <wp:positionV relativeFrom="paragraph">
                  <wp:posOffset>116484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1973pt;width:1.65pt;height:1.65pt;mso-position-horizontal-relative:page;mso-position-vertical-relative:paragraph;z-index:15747072" id="docshape46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Company</w:t>
      </w:r>
      <w:r>
        <w:rPr>
          <w:color w:val="6E6158"/>
          <w:spacing w:val="7"/>
        </w:rPr>
        <w:t> </w:t>
      </w:r>
      <w:r>
        <w:rPr>
          <w:color w:val="6E6158"/>
        </w:rPr>
        <w:t>Mentor,</w:t>
      </w:r>
      <w:r>
        <w:rPr>
          <w:color w:val="6E6158"/>
          <w:spacing w:val="8"/>
        </w:rPr>
        <w:t> </w:t>
      </w:r>
      <w:r>
        <w:rPr>
          <w:color w:val="6E6158"/>
        </w:rPr>
        <w:t>Invest</w:t>
      </w:r>
      <w:r>
        <w:rPr>
          <w:color w:val="6E6158"/>
          <w:spacing w:val="8"/>
        </w:rPr>
        <w:t> </w:t>
      </w:r>
      <w:r>
        <w:rPr>
          <w:color w:val="6E6158"/>
        </w:rPr>
        <w:t>Southwest</w:t>
      </w:r>
      <w:r>
        <w:rPr>
          <w:color w:val="6E6158"/>
          <w:spacing w:val="8"/>
        </w:rPr>
        <w:t> </w:t>
      </w:r>
      <w:r>
        <w:rPr>
          <w:color w:val="6E6158"/>
        </w:rPr>
        <w:t>Venture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Madness</w:t>
      </w:r>
    </w:p>
    <w:p>
      <w:pPr>
        <w:pStyle w:val="BodyText"/>
        <w:spacing w:after="0"/>
        <w:sectPr>
          <w:pgSz w:w="12240" w:h="15840"/>
          <w:pgMar w:top="500" w:bottom="280" w:left="720" w:right="720"/>
        </w:sectPr>
      </w:pPr>
    </w:p>
    <w:p>
      <w:pPr>
        <w:pStyle w:val="BodyText"/>
        <w:spacing w:line="420" w:lineRule="auto" w:before="88"/>
        <w:ind w:right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619132</wp:posOffset>
                </wp:positionH>
                <wp:positionV relativeFrom="paragraph">
                  <wp:posOffset>79438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6.254964pt;width:1.65pt;height:1.65pt;mso-position-horizontal-relative:page;mso-position-vertical-relative:paragraph;z-index:15747584" id="docshape47" coordorigin="975,125" coordsize="33,33" path="m996,158l987,158,983,156,977,150,975,146,975,137,977,133,983,127,987,125,996,125,1000,127,1006,133,1008,137,1008,141,1008,146,1006,150,1000,156,996,1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619132</wp:posOffset>
                </wp:positionH>
                <wp:positionV relativeFrom="paragraph">
                  <wp:posOffset>337803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6.598713pt;width:1.65pt;height:1.65pt;mso-position-horizontal-relative:page;mso-position-vertical-relative:paragraph;z-index:15748096" id="docshape48" coordorigin="975,532" coordsize="33,33" path="m996,565l987,565,983,563,977,557,975,553,975,544,977,540,983,534,987,532,996,532,1000,534,1006,540,1008,544,1008,548,1008,553,1006,557,1000,563,996,5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Arizona Revised Uniform Limited Liability Company Act Legislative </w:t>
      </w:r>
      <w:r>
        <w:rPr>
          <w:color w:val="6E6158"/>
        </w:rPr>
        <w:t>Committee</w:t>
      </w:r>
      <w:r>
        <w:rPr>
          <w:color w:val="6E6158"/>
          <w:spacing w:val="40"/>
        </w:rPr>
        <w:t> </w:t>
      </w:r>
      <w:r>
        <w:rPr>
          <w:color w:val="6E6158"/>
        </w:rPr>
        <w:t>Member, State Bar of Arizona</w:t>
      </w:r>
    </w:p>
    <w:p>
      <w:pPr>
        <w:pStyle w:val="BodyText"/>
        <w:spacing w:line="420" w:lineRule="auto" w:before="7"/>
        <w:ind w:right="64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619132</wp:posOffset>
                </wp:positionH>
                <wp:positionV relativeFrom="paragraph">
                  <wp:posOffset>27716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1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1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.18237pt;width:1.65pt;height:1.65pt;mso-position-horizontal-relative:page;mso-position-vertical-relative:paragraph;z-index:15748608" id="docshape49" coordorigin="975,44" coordsize="33,33" path="m996,76l987,76,983,75,977,68,975,64,975,55,977,52,983,45,987,44,996,44,1000,45,1006,52,1008,55,1008,60,1008,64,1006,68,1000,75,996,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619132</wp:posOffset>
                </wp:positionH>
                <wp:positionV relativeFrom="paragraph">
                  <wp:posOffset>286081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2.526119pt;width:1.65pt;height:1.65pt;mso-position-horizontal-relative:page;mso-position-vertical-relative:paragraph;z-index:15749120" id="docshape50" coordorigin="975,451" coordsize="33,33" path="m996,483l987,483,983,481,977,475,975,471,975,462,977,458,983,452,987,451,996,451,1000,452,1006,458,1008,462,1008,467,1008,471,1006,475,1000,481,996,48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Treasurer, Painted Rock </w:t>
      </w:r>
      <w:r>
        <w:rPr>
          <w:color w:val="6E6158"/>
        </w:rPr>
        <w:t>Academy Treasurer, Reid Traditional Schools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619132</wp:posOffset>
                </wp:positionH>
                <wp:positionV relativeFrom="paragraph">
                  <wp:posOffset>22261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529pt;width:1.65pt;height:1.65pt;mso-position-horizontal-relative:page;mso-position-vertical-relative:paragraph;z-index:15749632" id="docshape51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Former</w:t>
      </w:r>
      <w:r>
        <w:rPr>
          <w:color w:val="6E6158"/>
          <w:spacing w:val="10"/>
        </w:rPr>
        <w:t> </w:t>
      </w:r>
      <w:r>
        <w:rPr>
          <w:color w:val="6E6158"/>
        </w:rPr>
        <w:t>Treasurer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10"/>
        </w:rPr>
        <w:t> </w: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Prevent</w:t>
      </w:r>
      <w:r>
        <w:rPr>
          <w:color w:val="6E6158"/>
          <w:spacing w:val="10"/>
        </w:rPr>
        <w:t> </w:t>
      </w:r>
      <w:r>
        <w:rPr>
          <w:color w:val="6E6158"/>
        </w:rPr>
        <w:t>Child</w:t>
      </w:r>
      <w:r>
        <w:rPr>
          <w:color w:val="6E6158"/>
          <w:spacing w:val="10"/>
        </w:rPr>
        <w:t> </w:t>
      </w:r>
      <w:r>
        <w:rPr>
          <w:color w:val="6E6158"/>
        </w:rPr>
        <w:t>Abuse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Heading1"/>
        <w:spacing w:before="213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619132</wp:posOffset>
                </wp:positionH>
                <wp:positionV relativeFrom="paragraph">
                  <wp:posOffset>116473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1145pt;width:1.65pt;height:1.65pt;mso-position-horizontal-relative:page;mso-position-vertical-relative:paragraph;z-index:15750144" id="docshape52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sefird@fennemorelaw.com" TargetMode="External"/><Relationship Id="rId11" Type="http://schemas.openxmlformats.org/officeDocument/2006/relationships/hyperlink" Target="https://www.fennemorelaw.com/if-you-dread-going-into-work-at-the-start-of-each-week-get-a-different-job/" TargetMode="External"/><Relationship Id="rId12" Type="http://schemas.openxmlformats.org/officeDocument/2006/relationships/hyperlink" Target="https://www.fennemorelaw.com/insights/newsletters/2020/understanding-the-emergency-family-medical-leave-expansion-act-and-emergency-paid-sick-leave-in-the-families-first-coronavirus-response-act" TargetMode="External"/><Relationship Id="rId13" Type="http://schemas.openxmlformats.org/officeDocument/2006/relationships/hyperlink" Target="https://clientalert.fennemorecraig.com/opportunity_zones" TargetMode="External"/><Relationship Id="rId14" Type="http://schemas.openxmlformats.org/officeDocument/2006/relationships/hyperlink" Target="https://www.insidesources.com/what-you-need-to-know-about-opportunity-zone-funds/" TargetMode="External"/><Relationship Id="rId15" Type="http://schemas.openxmlformats.org/officeDocument/2006/relationships/hyperlink" Target="https://www.fennemorelaw.com/insights/newsletters/2018/irs-proposes-eliminating-charitable-deduction-for-donations-to-state-tuition-tax-credit-programs" TargetMode="External"/><Relationship Id="rId16" Type="http://schemas.openxmlformats.org/officeDocument/2006/relationships/hyperlink" Target="https://www.fennemorelaw.com/insights/newsletters/2018/qualified-opportunity-zones-a-new-program-allowing-taxpayers-to-defer-or-eliminate-capital-gains-when-investing-in-economically-disadvantaged-area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2024-11-12T16:13:33Z</dcterms:created>
  <dcterms:modified xsi:type="dcterms:W3CDTF">2024-11-12T16:13:33Z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