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5595" y="763308"/>
                            <a:ext cx="20015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SHAILENDRA (SHAY)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KULKARNI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1204" y="2500373"/>
                            <a:ext cx="15100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skulkarni@fennemorelaw.com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40;top:1762;width:315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SHAILENDRA (SHAY)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KULKARNI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27;top:4497;width:237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skulkarni@fennemorelaw.com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SHAILENDRA</w:t>
      </w:r>
      <w:r>
        <w:rPr>
          <w:color w:val="FF8100"/>
          <w:spacing w:val="12"/>
        </w:rPr>
        <w:t> </w:t>
      </w:r>
      <w:r>
        <w:rPr>
          <w:color w:val="FF8100"/>
        </w:rPr>
        <w:t>(SHAY)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KULKARNI</w:t>
      </w:r>
    </w:p>
    <w:p>
      <w:pPr>
        <w:pStyle w:val="BodyText"/>
        <w:spacing w:line="295" w:lineRule="auto" w:before="146"/>
        <w:ind w:left="104" w:right="388"/>
      </w:pPr>
      <w:r>
        <w:rPr>
          <w:color w:val="6E6158"/>
        </w:rPr>
        <w:t>Shailendra “Shay” Kulkarni, a member of the Construction and Litigation practice groups, is a</w:t>
      </w:r>
      <w:r>
        <w:rPr>
          <w:color w:val="6E6158"/>
          <w:spacing w:val="40"/>
        </w:rPr>
        <w:t> </w:t>
      </w:r>
      <w:r>
        <w:rPr>
          <w:color w:val="6E6158"/>
        </w:rPr>
        <w:t>skilled litigator and noted speaker who utilizes his comprehensive construction law expertise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assist contractors, real estate developers, and other business entities in dispute resolution.</w:t>
      </w:r>
      <w:r>
        <w:rPr>
          <w:color w:val="6E6158"/>
          <w:spacing w:val="80"/>
        </w:rPr>
        <w:t> </w:t>
      </w:r>
      <w:r>
        <w:rPr>
          <w:color w:val="6E6158"/>
        </w:rPr>
        <w:t>He focuses on construction and real estate litigation, insurance coverage litigation and analysis,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surety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construction-industry</w:t>
      </w:r>
      <w:r>
        <w:rPr>
          <w:color w:val="6E6158"/>
          <w:spacing w:val="40"/>
        </w:rPr>
        <w:t> </w:t>
      </w:r>
      <w:r>
        <w:rPr>
          <w:color w:val="6E6158"/>
        </w:rPr>
        <w:t>contracts.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Shay is the Chair of the Construction Law Practice Area Committee of the California </w:t>
      </w:r>
      <w:r>
        <w:rPr>
          <w:color w:val="6E6158"/>
        </w:rPr>
        <w:t>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former</w:t>
      </w:r>
      <w:r>
        <w:rPr>
          <w:color w:val="6E6158"/>
          <w:spacing w:val="30"/>
        </w:rPr>
        <w:t> </w:t>
      </w:r>
      <w:r>
        <w:rPr>
          <w:color w:val="6E6158"/>
        </w:rPr>
        <w:t>two-time</w:t>
      </w:r>
      <w:r>
        <w:rPr>
          <w:color w:val="6E6158"/>
          <w:spacing w:val="30"/>
        </w:rPr>
        <w:t> </w:t>
      </w:r>
      <w:r>
        <w:rPr>
          <w:color w:val="6E6158"/>
        </w:rPr>
        <w:t>Chairman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Construction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Section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San</w:t>
      </w:r>
    </w:p>
    <w:p>
      <w:pPr>
        <w:pStyle w:val="BodyText"/>
        <w:spacing w:before="2"/>
        <w:ind w:left="104"/>
      </w:pP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Association.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currently</w:t>
      </w:r>
      <w:r>
        <w:rPr>
          <w:color w:val="6E6158"/>
          <w:spacing w:val="10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serves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Division</w:t>
      </w:r>
      <w:r>
        <w:rPr>
          <w:color w:val="6E6158"/>
          <w:spacing w:val="11"/>
        </w:rPr>
        <w:t> </w:t>
      </w:r>
      <w:r>
        <w:rPr>
          <w:color w:val="6E6158"/>
        </w:rPr>
        <w:t>5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(General</w:t>
      </w:r>
    </w:p>
    <w:p>
      <w:pPr>
        <w:pStyle w:val="BodyText"/>
        <w:spacing w:line="295" w:lineRule="auto" w:before="51"/>
        <w:ind w:left="104" w:right="63"/>
      </w:pPr>
      <w:r>
        <w:rPr>
          <w:color w:val="6E6158"/>
        </w:rPr>
        <w:t>Contractors) of the ABA Forum on Construction Law, and as a fellow of the Construction Lawyers</w:t>
      </w:r>
      <w:r>
        <w:rPr>
          <w:color w:val="6E6158"/>
          <w:spacing w:val="40"/>
        </w:rPr>
        <w:t> </w:t>
      </w:r>
      <w:r>
        <w:rPr>
          <w:color w:val="6E6158"/>
        </w:rPr>
        <w:t>Society of America. Shay also proudly serves the San Diego community as an Advisory Board</w:t>
      </w:r>
      <w:r>
        <w:rPr>
          <w:color w:val="6E6158"/>
          <w:spacing w:val="40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Mentoring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Co-chair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Crawford</w:t>
      </w:r>
      <w:r>
        <w:rPr>
          <w:color w:val="6E6158"/>
          <w:spacing w:val="28"/>
        </w:rPr>
        <w:t> </w:t>
      </w:r>
      <w:r>
        <w:rPr>
          <w:color w:val="6E6158"/>
        </w:rPr>
        <w:t>Academy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program,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as a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Build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Serve</w:t>
      </w:r>
      <w:r>
        <w:rPr>
          <w:color w:val="6E6158"/>
          <w:spacing w:val="25"/>
        </w:rPr>
        <w:t> </w:t>
      </w:r>
      <w:r>
        <w:rPr>
          <w:color w:val="6E6158"/>
        </w:rPr>
        <w:t>Committee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Diego</w:t>
      </w:r>
      <w:r>
        <w:rPr>
          <w:color w:val="6E6158"/>
          <w:spacing w:val="25"/>
        </w:rPr>
        <w:t> </w:t>
      </w:r>
      <w:r>
        <w:rPr>
          <w:color w:val="6E6158"/>
        </w:rPr>
        <w:t>Chapter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Associated General Contractors of America.</w:t>
      </w:r>
    </w:p>
    <w:p>
      <w:pPr>
        <w:pStyle w:val="BodyText"/>
        <w:spacing w:before="203"/>
        <w:ind w:left="104"/>
        <w:jc w:val="both"/>
      </w:pPr>
      <w:r>
        <w:rPr>
          <w:color w:val="6E6158"/>
        </w:rPr>
        <w:t>Prior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moving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Diego,</w:t>
      </w:r>
      <w:r>
        <w:rPr>
          <w:color w:val="6E6158"/>
          <w:spacing w:val="11"/>
        </w:rPr>
        <w:t> </w:t>
      </w:r>
      <w:r>
        <w:rPr>
          <w:color w:val="6E6158"/>
        </w:rPr>
        <w:t>Shay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practiced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Orleans,</w:t>
      </w:r>
      <w:r>
        <w:rPr>
          <w:color w:val="6E6158"/>
          <w:spacing w:val="11"/>
        </w:rPr>
        <w:t> </w:t>
      </w:r>
      <w:r>
        <w:rPr>
          <w:color w:val="6E6158"/>
        </w:rPr>
        <w:t>Louisiana,</w:t>
      </w:r>
      <w:r>
        <w:rPr>
          <w:color w:val="6E6158"/>
          <w:spacing w:val="11"/>
        </w:rPr>
        <w:t> </w:t>
      </w:r>
      <w:r>
        <w:rPr>
          <w:color w:val="6E6158"/>
        </w:rPr>
        <w:t>focusing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7" w:lineRule="auto" w:before="52"/>
        <w:ind w:left="104" w:right="289"/>
        <w:jc w:val="both"/>
      </w:pPr>
      <w:r>
        <w:rPr>
          <w:color w:val="6E6158"/>
        </w:rPr>
        <w:t>construction, surety, and real estate litigation. His deep knowledge and broad experience as a trusted advisor make him a key resource for clients in the construction, real estate, and general business sectors.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506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Tulane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544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3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2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152643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164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416176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802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581530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9803pt;width:1.65pt;height:1.65pt;mso-position-horizontal-relative:page;mso-position-vertical-relative:paragraph;z-index:15731200" id="docshape15" coordorigin="1675,916" coordsize="33,33" path="m1696,948l1687,948,1683,947,1676,940,1675,937,1675,928,1676,924,1683,917,1687,916,1696,916,1699,917,1706,924,1707,928,1707,932,1707,937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674542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3544pt;width:1.65pt;height:1.65pt;mso-position-horizontal-relative:page;mso-position-vertical-relative:paragraph;z-index:15731712" id="docshape16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932907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57291pt;width:1.65pt;height:1.65pt;mso-position-horizontal-relative:page;mso-position-vertical-relative:paragraph;z-index:15732224" id="docshape17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Natural </w:t>
      </w:r>
      <w:r>
        <w:rPr>
          <w:color w:val="6E6158"/>
        </w:rPr>
        <w:t>Resources Real Estate</w:t>
      </w:r>
    </w:p>
    <w:p>
      <w:pPr>
        <w:pStyle w:val="BodyText"/>
        <w:spacing w:after="0" w:line="422" w:lineRule="auto"/>
        <w:jc w:val="both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3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3248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3760" id="docshape2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Best Lawyers in America®, Litigation – Real Estate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4272" id="docshape21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Stand-Out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2"/>
        </w:rPr>
        <w:t> </w:t>
      </w:r>
      <w:r>
        <w:rPr>
          <w:color w:val="6E6158"/>
        </w:rPr>
        <w:t>Reuters,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  <w:ind w:right="2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53pt;width:1.65pt;height:1.65pt;mso-position-horizontal-relative:page;mso-position-vertical-relative:paragraph;z-index:15734784" id="docshape22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433560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599pt;width:1.65pt;height:1.65pt;mso-position-horizontal-relative:page;mso-position-vertical-relative:paragraph;z-index:15735296" id="docshape2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Lawyer – Construction Law by San Diego Magazine, 2019-</w:t>
      </w:r>
      <w:r>
        <w:rPr>
          <w:color w:val="6E6158"/>
        </w:rPr>
        <w:t>2023 Rising Star by Super Lawyers, Construction Litigation</w:t>
      </w:r>
    </w:p>
    <w:p>
      <w:pPr>
        <w:pStyle w:val="BodyText"/>
        <w:spacing w:line="420" w:lineRule="auto" w:before="7"/>
        <w:ind w:right="4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63695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384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327228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6008pt;width:1.65pt;height:1.65pt;mso-position-horizontal-relative:page;mso-position-vertical-relative:paragraph;z-index:15736320" id="docshape25" coordorigin="1675,515" coordsize="33,33" path="m1696,548l1687,548,1683,546,1676,540,1675,536,1675,527,1676,523,1683,517,1687,515,1696,515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Lawyers, Business </w:t>
      </w:r>
      <w:r>
        <w:rPr>
          <w:color w:val="6E6158"/>
        </w:rPr>
        <w:t>Litigation Rising Star by Super Lawyers, Real Estate</w:t>
      </w:r>
    </w:p>
    <w:p>
      <w:pPr>
        <w:pStyle w:val="BodyText"/>
        <w:spacing w:line="420" w:lineRule="auto"/>
        <w:ind w:right="4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63408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788pt;width:1.65pt;height:1.65pt;mso-position-horizontal-relative:page;mso-position-vertical-relative:paragraph;z-index:15736832" id="docshape2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321774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6538pt;width:1.65pt;height:1.65pt;mso-position-horizontal-relative:page;mso-position-vertical-relative:paragraph;z-index:15737344" id="docshape27" coordorigin="1675,507" coordsize="33,33" path="m1696,539l1687,539,1683,538,1676,531,1675,527,1675,519,1676,515,1683,508,1687,507,1696,507,1699,508,1706,515,1707,519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Lawyers, Surety </w:t>
      </w:r>
      <w:r>
        <w:rPr>
          <w:color w:val="6E6158"/>
        </w:rPr>
        <w:t>Law Super Lawyer, Construction Litigation</w:t>
      </w:r>
    </w:p>
    <w:p>
      <w:pPr>
        <w:pStyle w:val="BodyText"/>
        <w:spacing w:line="420" w:lineRule="auto" w:before="5"/>
        <w:ind w:right="4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62399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3319pt;width:1.65pt;height:1.65pt;mso-position-horizontal-relative:page;mso-position-vertical-relative:paragraph;z-index:15737856" id="docshape2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325932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63944pt;width:1.65pt;height:1.65pt;mso-position-horizontal-relative:page;mso-position-vertical-relative:paragraph;z-index:15738368" id="docshape29" coordorigin="1675,513" coordsize="33,33" path="m1696,546l1687,546,1683,544,1676,538,1675,534,1675,525,1676,521,1683,515,1687,513,1696,513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 40 Under 40” by San Diego Daily </w:t>
      </w:r>
      <w:r>
        <w:rPr>
          <w:color w:val="6E6158"/>
        </w:rPr>
        <w:t>Transcript SD Metro Magazine’s “Top 40 Under 40”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63382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0724pt;width:1.65pt;height:1.65pt;mso-position-horizontal-relative:page;mso-position-vertical-relative:paragraph;z-index:15738880" id="docshape3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Finalist,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Journal’s</w:t>
      </w:r>
      <w:r>
        <w:rPr>
          <w:color w:val="6E6158"/>
          <w:spacing w:val="12"/>
        </w:rPr>
        <w:t> </w:t>
      </w:r>
      <w:r>
        <w:rPr>
          <w:color w:val="6E6158"/>
        </w:rPr>
        <w:t>“Next</w:t>
      </w:r>
      <w:r>
        <w:rPr>
          <w:color w:val="6E6158"/>
          <w:spacing w:val="12"/>
        </w:rPr>
        <w:t> </w:t>
      </w:r>
      <w:r>
        <w:rPr>
          <w:color w:val="6E6158"/>
        </w:rPr>
        <w:t>Top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Leaders</w:t>
      </w:r>
      <w:r>
        <w:rPr>
          <w:color w:val="6E6158"/>
          <w:spacing w:val="13"/>
        </w:rPr>
        <w:t> </w:t>
      </w:r>
      <w:r>
        <w:rPr>
          <w:color w:val="6E6158"/>
        </w:rPr>
        <w:t>Under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40”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338412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46671pt;width:1.65pt;height:1.65pt;mso-position-horizontal-relative:page;mso-position-vertical-relative:paragraph;z-index:15739392" id="docshape31" coordorigin="1675,533" coordsize="33,33" path="m1696,565l1687,565,1683,564,1676,558,1675,554,1675,545,1676,541,1683,535,1687,533,1696,533,1699,535,1706,541,1707,545,1707,549,1707,554,1706,558,1699,564,16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“Scheduling Impact Claims, Common Legal Issues and Practical Considerations </w:t>
      </w:r>
      <w:r>
        <w:rPr>
          <w:color w:val="6E6158"/>
        </w:rPr>
        <w:t>for Asserting and Proving Delay, Disruption, and Acceleration Claims,” Associated 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 (AGC) San Diego, September 21, 2023</w:t>
      </w:r>
    </w:p>
    <w:p>
      <w:pPr>
        <w:pStyle w:val="BodyText"/>
        <w:spacing w:line="302" w:lineRule="auto" w:before="124"/>
        <w:ind w:right="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236527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4193pt;width:1.65pt;height:1.65pt;mso-position-horizontal-relative:page;mso-position-vertical-relative:paragraph;z-index:15739904" id="docshape32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 Update” Associated General Contractors (AGC) San Diego, </w:t>
      </w:r>
      <w:r>
        <w:rPr>
          <w:color w:val="6E6158"/>
        </w:rPr>
        <w:t>July 27, 2023</w:t>
      </w:r>
    </w:p>
    <w:p>
      <w:pPr>
        <w:pStyle w:val="BodyText"/>
        <w:spacing w:line="292" w:lineRule="auto" w:before="11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224235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359pt;width:1.65pt;height:1.65pt;mso-position-horizontal-relative:page;mso-position-vertical-relative:paragraph;z-index:15740416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 Update” Construction Financial Management </w:t>
      </w:r>
      <w:r>
        <w:rPr>
          <w:color w:val="6E6158"/>
        </w:rPr>
        <w:t>Association (CFMA)’s San Diego Chapter, June 22,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142918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446pt;width:1.65pt;height:1.65pt;mso-position-horizontal-relative:page;mso-position-vertical-relative:paragraph;z-index:15740928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10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Meeting,</w:t>
      </w:r>
      <w:r>
        <w:rPr>
          <w:color w:val="6E6158"/>
          <w:spacing w:val="10"/>
        </w:rPr>
        <w:t> </w:t>
      </w:r>
      <w:r>
        <w:rPr>
          <w:color w:val="6E6158"/>
        </w:rPr>
        <w:t>ABA</w:t>
      </w:r>
      <w:r>
        <w:rPr>
          <w:color w:val="6E6158"/>
          <w:spacing w:val="11"/>
        </w:rPr>
        <w:t> </w:t>
      </w:r>
      <w:r>
        <w:rPr>
          <w:color w:val="6E6158"/>
        </w:rPr>
        <w:t>Forum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14,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356196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995pt;width:1.65pt;height:1.65pt;mso-position-horizontal-relative:page;mso-position-vertical-relative:paragraph;z-index:15741440" id="docshape35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“Scheduling Impact Claims, Common Legal Issues and Practical Considerations </w:t>
      </w:r>
      <w:r>
        <w:rPr>
          <w:color w:val="6E6158"/>
        </w:rPr>
        <w:t>for Asserting and Proving Delay, Disruption, and Acceleration Claims,” Associated 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 (AGC) San Diego, March 16, 2023</w:t>
      </w:r>
    </w:p>
    <w:p>
      <w:pPr>
        <w:pStyle w:val="Heading1"/>
        <w:spacing w:before="29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629pt;width:1.65pt;height:1.65pt;mso-position-horizontal-relative:page;mso-position-vertical-relative:paragraph;z-index:15741952" id="docshape36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415890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246pt;width:1.65pt;height:1.65pt;mso-position-horizontal-relative:page;mso-position-vertical-relative:paragraph;z-index:15742464" id="docshape37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</w:t>
      </w:r>
      <w:r>
        <w:rPr>
          <w:color w:val="6E6158"/>
          <w:spacing w:val="80"/>
        </w:rPr>
        <w:t> </w:t>
      </w:r>
      <w:r>
        <w:rPr>
          <w:color w:val="6E6158"/>
        </w:rPr>
        <w:t>Member, Louisiana State Bar </w:t>
      </w:r>
      <w:r>
        <w:rPr>
          <w:color w:val="6E6158"/>
        </w:rPr>
        <w:t>Association</w:t>
      </w:r>
    </w:p>
    <w:p>
      <w:pPr>
        <w:pStyle w:val="BodyText"/>
        <w:spacing w:line="420" w:lineRule="auto"/>
        <w:ind w:right="4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63805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19pt;width:1.65pt;height:1.65pt;mso-position-horizontal-relative:page;mso-position-vertical-relative:paragraph;z-index:15742976" id="docshape3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322170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786pt;width:1.65pt;height:1.65pt;mso-position-horizontal-relative:page;mso-position-vertical-relative:paragraph;z-index:15743488" id="docshape3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</w:t>
      </w:r>
      <w:r>
        <w:rPr>
          <w:color w:val="6E6158"/>
        </w:rPr>
        <w:t>Association Member, ABA Forum on Construction Law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62795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4562pt;width:1.65pt;height:1.65pt;mso-position-horizontal-relative:page;mso-position-vertical-relative:paragraph;z-index:15744000" id="docshape40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line="292" w:lineRule="auto" w:before="17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263072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4344pt;width:1.65pt;height:1.65pt;mso-position-horizontal-relative:page;mso-position-vertical-relative:paragraph;z-index:15744512" id="docshape41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Board Member and Mentoring Program Co-Chair, Crawford Academy of Law </w:t>
      </w:r>
      <w:r>
        <w:rPr>
          <w:color w:val="6E6158"/>
          <w:spacing w:val="-2"/>
        </w:rPr>
        <w:t>Program</w:t>
      </w:r>
    </w:p>
    <w:p>
      <w:pPr>
        <w:pStyle w:val="BodyText"/>
        <w:spacing w:line="420" w:lineRule="auto" w:before="131"/>
        <w:ind w:right="1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143020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454pt;width:1.65pt;height:1.65pt;mso-position-horizontal-relative:page;mso-position-vertical-relative:paragraph;z-index:15745024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401386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5198pt;width:1.65pt;height:1.65pt;mso-position-horizontal-relative:page;mso-position-vertical-relative:paragraph;z-index:15745536" id="docshape43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 Member, San Diego/Tijuana Chapter of the Urban Land </w:t>
      </w:r>
      <w:r>
        <w:rPr>
          <w:color w:val="6E6158"/>
        </w:rPr>
        <w:t>Institute Member, Pearlman Institute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6048" id="docshape4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National</w:t>
      </w:r>
      <w:r>
        <w:rPr>
          <w:color w:val="6E6158"/>
          <w:spacing w:val="9"/>
        </w:rPr>
        <w:t> </w:t>
      </w:r>
      <w:r>
        <w:rPr>
          <w:color w:val="6E6158"/>
        </w:rPr>
        <w:t>Bond</w:t>
      </w:r>
      <w:r>
        <w:rPr>
          <w:color w:val="6E6158"/>
          <w:spacing w:val="9"/>
        </w:rPr>
        <w:t> </w:t>
      </w:r>
      <w:r>
        <w:rPr>
          <w:color w:val="6E6158"/>
        </w:rPr>
        <w:t>Claims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38pt;width:1.65pt;height:1.65pt;mso-position-horizontal-relative:page;mso-position-vertical-relative:paragraph;z-index:15746560" id="docshape4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84pt;width:1.65pt;height:1.65pt;mso-position-horizontal-relative:page;mso-position-vertical-relative:paragraph;z-index:15747072" id="docshape4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Louisiana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kulkar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2024-11-22T17:45:53Z</dcterms:created>
  <dcterms:modified xsi:type="dcterms:W3CDTF">2024-11-22T17:45:53Z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ConvertAPI</vt:lpwstr>
  </property>
</Properties>
</file>