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7"/>
        <w:rPr>
          <w:rFonts w:ascii="Times New Roman"/>
        </w:rPr>
      </w:pPr>
    </w:p>
    <w:p>
      <w:pPr>
        <w:pStyle w:val="BodyText"/>
        <w:spacing w:line="302" w:lineRule="auto"/>
        <w:ind w:left="124" w:right="2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-4828536</wp:posOffset>
                </wp:positionV>
                <wp:extent cx="6955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736465"/>
                          <a:chExt cx="6955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955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318260">
                                <a:moveTo>
                                  <a:pt x="6955202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893695">
                                <a:moveTo>
                                  <a:pt x="3477601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59685" y="1643205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58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118588" y="320382"/>
                                </a:lnTo>
                                <a:lnTo>
                                  <a:pt x="2118588" y="315214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588" y="5168"/>
                                </a:lnTo>
                                <a:lnTo>
                                  <a:pt x="211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58538" y="763308"/>
                            <a:ext cx="132842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STEPHEN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A.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GOOD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20205" y="2133494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157102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50149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602.916.5595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517361" y="2500373"/>
                            <a:ext cx="14109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sgood@fennemorelaw.com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11734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61326" y="3756030"/>
                            <a:ext cx="344868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clients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really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smart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appreciate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candid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open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advice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creative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thinking.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37096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STEPHEN</w:t>
                              </w:r>
                              <w:r>
                                <w:rPr>
                                  <w:b/>
                                  <w:color w:val="002E6B"/>
                                  <w:spacing w:val="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A.</w:t>
                              </w:r>
                              <w:r>
                                <w:rPr>
                                  <w:b/>
                                  <w:color w:val="002E6B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4"/>
                                  <w:sz w:val="24"/>
                                </w:rPr>
                                <w:t>GOOD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299240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380.199707pt;width:547.7pt;height:372.95pt;mso-position-horizontal-relative:page;mso-position-vertical-relative:paragraph;z-index:15728640" id="docshapegroup1" coordorigin="641,-7604" coordsize="10954,7459">
                <v:rect style="position:absolute;left:641;top:-2624;width:10954;height:2076" id="docshape2" filled="true" fillcolor="#002e6d" stroked="false">
                  <v:fill type="solid"/>
                </v:rect>
                <v:shape style="position:absolute;left:641;top:-7604;width:2165;height:424" type="#_x0000_t75" id="docshape3" href="https://www.fennemorelaw.com/" stroked="false">
                  <v:imagedata r:id="rId5" o:title=""/>
                </v:shape>
                <v:shape style="position:absolute;left:641;top:-7181;width:5477;height:4557" type="#_x0000_t75" id="docshape4" stroked="false">
                  <v:imagedata r:id="rId7" o:title=""/>
                </v:shape>
                <v:rect style="position:absolute;left:6117;top:-7181;width:5477;height:4557" id="docshape5" filled="true" fillcolor="#262424" stroked="false">
                  <v:fill type="solid"/>
                </v:rect>
                <v:shape style="position:absolute;left:7192;top:-5017;width:3337;height:505" id="docshape6" coordorigin="7192,-5016" coordsize="3337,505" path="m10528,-4520l7192,-4520,7192,-4512,10528,-4512,10528,-4520xm10528,-5016l7192,-5016,7192,-5008,10528,-5008,10528,-50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820;top:-6402;width:2092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STEPHEN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A.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GOOD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47;top:-4245;width:638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88;top:-399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602.916.5395</w:t>
                        </w:r>
                      </w:p>
                    </w:txbxContent>
                  </v:textbox>
                  <w10:wrap type="none"/>
                </v:shape>
                <v:shape style="position:absolute;left:9305;top:-399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602.916.5595</w:t>
                        </w:r>
                      </w:p>
                    </w:txbxContent>
                  </v:textbox>
                  <w10:wrap type="none"/>
                </v:shape>
                <v:shape style="position:absolute;left:7755;top:-3667;width:2222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sgood@fennemorelaw.com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-1949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15;top:-1689;width:5431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like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clients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really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smart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appreciate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candid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open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advice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creative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thinking.</w:t>
                        </w:r>
                      </w:p>
                    </w:txbxContent>
                  </v:textbox>
                  <w10:wrap type="none"/>
                </v:shape>
                <v:shape style="position:absolute;left:844;top:-442;width:2159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STEPHEN</w:t>
                        </w:r>
                        <w:r>
                          <w:rPr>
                            <w:b/>
                            <w:color w:val="002E6B"/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A.</w:t>
                        </w:r>
                        <w:r>
                          <w:rPr>
                            <w:b/>
                            <w:color w:val="002E6B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4"/>
                            <w:sz w:val="24"/>
                          </w:rPr>
                          <w:t>GOOD</w:t>
                        </w:r>
                      </w:p>
                    </w:txbxContent>
                  </v:textbox>
                  <w10:wrap type="none"/>
                </v:shape>
                <v:shape style="position:absolute;left:8986;top:-1949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6E6158"/>
        </w:rPr>
        <w:t>Steve Good enjoys being an attorney</w:t>
      </w:r>
      <w:r>
        <w:rPr>
          <w:color w:val="6E6158"/>
          <w:spacing w:val="15"/>
        </w:rPr>
        <w:t> </w:t>
      </w:r>
      <w:r>
        <w:rPr>
          <w:color w:val="6E6158"/>
        </w:rPr>
        <w:t>because it gives him the opportunity to read, write and solve puzzles, skills</w:t>
      </w:r>
      <w:r>
        <w:rPr>
          <w:color w:val="6E6158"/>
          <w:spacing w:val="80"/>
        </w:rPr>
        <w:t> </w:t>
      </w:r>
      <w:r>
        <w:rPr>
          <w:color w:val="6E6158"/>
        </w:rPr>
        <w:t>he effectively employs daily as a business, tax and estate planning attorney.</w:t>
      </w:r>
    </w:p>
    <w:p>
      <w:pPr>
        <w:pStyle w:val="BodyText"/>
        <w:spacing w:line="295" w:lineRule="auto" w:before="186"/>
        <w:ind w:left="124" w:right="266"/>
      </w:pPr>
      <w:r>
        <w:rPr>
          <w:color w:val="6E6158"/>
        </w:rPr>
        <w:t>Steve assists our clients with structuring their businesses and negotiating commercial transactions, with an</w:t>
      </w:r>
      <w:r>
        <w:rPr>
          <w:color w:val="6E6158"/>
          <w:spacing w:val="80"/>
        </w:rPr>
        <w:t> </w:t>
      </w:r>
      <w:r>
        <w:rPr>
          <w:color w:val="6E6158"/>
        </w:rPr>
        <w:t>emphasis on advising clients regarding the associated income, estate and gift tax implications.</w:t>
      </w:r>
      <w:r>
        <w:rPr>
          <w:color w:val="6E6158"/>
          <w:spacing w:val="80"/>
        </w:rPr>
        <w:t> </w:t>
      </w:r>
      <w:r>
        <w:rPr>
          <w:color w:val="6E6158"/>
        </w:rPr>
        <w:t>He also helps</w:t>
      </w:r>
      <w:r>
        <w:rPr>
          <w:color w:val="6E6158"/>
          <w:spacing w:val="40"/>
        </w:rPr>
        <w:t> </w:t>
      </w:r>
      <w:r>
        <w:rPr>
          <w:color w:val="6E6158"/>
        </w:rPr>
        <w:t>families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business</w:t>
      </w:r>
      <w:r>
        <w:rPr>
          <w:color w:val="6E6158"/>
          <w:spacing w:val="20"/>
        </w:rPr>
        <w:t> </w:t>
      </w:r>
      <w:r>
        <w:rPr>
          <w:color w:val="6E6158"/>
        </w:rPr>
        <w:t>owners</w:t>
      </w:r>
      <w:r>
        <w:rPr>
          <w:color w:val="6E6158"/>
          <w:spacing w:val="20"/>
        </w:rPr>
        <w:t> </w:t>
      </w:r>
      <w:r>
        <w:rPr>
          <w:color w:val="6E6158"/>
        </w:rPr>
        <w:t>accomplish</w:t>
      </w:r>
      <w:r>
        <w:rPr>
          <w:color w:val="6E6158"/>
          <w:spacing w:val="20"/>
        </w:rPr>
        <w:t> </w:t>
      </w:r>
      <w:r>
        <w:rPr>
          <w:color w:val="6E6158"/>
        </w:rPr>
        <w:t>their</w:t>
      </w:r>
      <w:r>
        <w:rPr>
          <w:color w:val="6E6158"/>
          <w:spacing w:val="20"/>
        </w:rPr>
        <w:t> </w:t>
      </w:r>
      <w:r>
        <w:rPr>
          <w:color w:val="6E6158"/>
        </w:rPr>
        <w:t>estate</w:t>
      </w:r>
      <w:r>
        <w:rPr>
          <w:color w:val="6E6158"/>
          <w:spacing w:val="20"/>
        </w:rPr>
        <w:t> </w:t>
      </w:r>
      <w:r>
        <w:rPr>
          <w:color w:val="6E6158"/>
        </w:rPr>
        <w:t>planning,</w:t>
      </w:r>
      <w:r>
        <w:rPr>
          <w:color w:val="6E6158"/>
          <w:spacing w:val="20"/>
        </w:rPr>
        <w:t> </w:t>
      </w:r>
      <w:r>
        <w:rPr>
          <w:color w:val="6E6158"/>
        </w:rPr>
        <w:t>succession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wealth</w:t>
      </w:r>
      <w:r>
        <w:rPr>
          <w:color w:val="6E6158"/>
          <w:spacing w:val="20"/>
        </w:rPr>
        <w:t> </w:t>
      </w:r>
      <w:r>
        <w:rPr>
          <w:color w:val="6E6158"/>
        </w:rPr>
        <w:t>preservation</w:t>
      </w:r>
      <w:r>
        <w:rPr>
          <w:color w:val="6E6158"/>
          <w:spacing w:val="20"/>
        </w:rPr>
        <w:t> </w:t>
      </w:r>
      <w:r>
        <w:rPr>
          <w:color w:val="6E6158"/>
        </w:rPr>
        <w:t>objectives in a tax-efficient manner.</w:t>
      </w:r>
    </w:p>
    <w:p>
      <w:pPr>
        <w:pStyle w:val="BodyText"/>
        <w:spacing w:line="292" w:lineRule="auto" w:before="197"/>
        <w:ind w:left="124" w:right="266"/>
      </w:pPr>
      <w:r>
        <w:rPr>
          <w:color w:val="6E6158"/>
        </w:rPr>
        <w:t>A native of Pittsburgh, PA, Steve joined us right after graduating from law school. When he is not at work, Steve</w:t>
      </w:r>
      <w:r>
        <w:rPr>
          <w:color w:val="6E6158"/>
          <w:spacing w:val="80"/>
        </w:rPr>
        <w:t> </w:t>
      </w:r>
      <w:r>
        <w:rPr>
          <w:color w:val="6E6158"/>
        </w:rPr>
        <w:t>enjoys spending time with his wife and three children, and he is an avid college sports fan, especially of</w:t>
      </w:r>
      <w:r>
        <w:rPr>
          <w:color w:val="6E6158"/>
          <w:spacing w:val="80"/>
        </w:rPr>
        <w:t> </w:t>
      </w:r>
      <w:r>
        <w:rPr>
          <w:color w:val="6E6158"/>
        </w:rPr>
        <w:t>University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Miami</w:t>
      </w:r>
      <w:r>
        <w:rPr>
          <w:color w:val="6E6158"/>
          <w:spacing w:val="26"/>
        </w:rPr>
        <w:t> </w:t>
      </w:r>
      <w:r>
        <w:rPr>
          <w:color w:val="6E6158"/>
        </w:rPr>
        <w:t>football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Duke</w:t>
      </w:r>
      <w:r>
        <w:rPr>
          <w:color w:val="6E6158"/>
          <w:spacing w:val="26"/>
        </w:rPr>
        <w:t> </w:t>
      </w:r>
      <w:r>
        <w:rPr>
          <w:color w:val="6E6158"/>
        </w:rPr>
        <w:t>basketball.</w:t>
      </w:r>
      <w:r>
        <w:rPr>
          <w:color w:val="6E6158"/>
          <w:spacing w:val="26"/>
        </w:rPr>
        <w:t> </w:t>
      </w:r>
      <w:r>
        <w:rPr>
          <w:color w:val="6E6158"/>
        </w:rPr>
        <w:t>Occasionally,</w:t>
      </w:r>
      <w:r>
        <w:rPr>
          <w:color w:val="6E6158"/>
          <w:spacing w:val="26"/>
        </w:rPr>
        <w:t> </w:t>
      </w:r>
      <w:r>
        <w:rPr>
          <w:color w:val="6E6158"/>
        </w:rPr>
        <w:t>Steve</w:t>
      </w:r>
      <w:r>
        <w:rPr>
          <w:color w:val="6E6158"/>
          <w:spacing w:val="26"/>
        </w:rPr>
        <w:t> </w:t>
      </w:r>
      <w:r>
        <w:rPr>
          <w:color w:val="6E6158"/>
        </w:rPr>
        <w:t>also</w:t>
      </w:r>
      <w:r>
        <w:rPr>
          <w:color w:val="6E6158"/>
          <w:spacing w:val="26"/>
        </w:rPr>
        <w:t> </w:t>
      </w:r>
      <w:r>
        <w:rPr>
          <w:color w:val="6E6158"/>
        </w:rPr>
        <w:t>plays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trombone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local</w:t>
      </w:r>
      <w:r>
        <w:rPr>
          <w:color w:val="6E6158"/>
          <w:spacing w:val="26"/>
        </w:rPr>
        <w:t> </w:t>
      </w:r>
      <w:r>
        <w:rPr>
          <w:color w:val="6E6158"/>
        </w:rPr>
        <w:t>R&amp;B</w:t>
      </w:r>
    </w:p>
    <w:p>
      <w:pPr>
        <w:pStyle w:val="BodyText"/>
        <w:spacing w:before="10"/>
        <w:ind w:left="124"/>
      </w:pPr>
      <w:r>
        <w:rPr>
          <w:color w:val="6E6158"/>
          <w:spacing w:val="-2"/>
        </w:rPr>
        <w:t>band.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116476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1397pt;width:1.65pt;height:1.65pt;mso-position-horizontal-relative:page;mso-position-vertical-relative:paragraph;z-index:15729152" id="docshape16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Duke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spacing w:before="163"/>
        <w:ind w:left="377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133571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17441pt;width:1.65pt;height:1.65pt;mso-position-horizontal-relative:page;mso-position-vertical-relative:paragraph;z-index:15729664" id="docshape17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Miami,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47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4"/>
        <w:rPr>
          <w:b/>
        </w:rPr>
      </w:pPr>
    </w:p>
    <w:p>
      <w:pPr>
        <w:pStyle w:val="BodyText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23245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30387pt;width:1.65pt;height:1.65pt;mso-position-horizontal-relative:page;mso-position-vertical-relative:paragraph;z-index:15730176" id="docshape18" coordorigin="975,37" coordsize="33,33" path="m996,69l987,69,983,68,977,61,975,57,975,48,977,45,983,38,987,37,996,37,1000,38,1006,45,1008,48,1008,53,1008,57,1006,61,1000,68,996,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133685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6431pt;width:1.65pt;height:1.65pt;mso-position-horizontal-relative:page;mso-position-vertical-relative:paragraph;z-index:15730688" id="docshape19" coordorigin="975,211" coordsize="33,33" path="m996,243l987,243,983,241,977,235,975,231,975,222,977,218,983,212,987,211,996,211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Private</w:t>
      </w:r>
      <w:r>
        <w:rPr>
          <w:color w:val="6E6158"/>
          <w:spacing w:val="9"/>
        </w:rPr>
        <w:t> </w:t>
      </w:r>
      <w:r>
        <w:rPr>
          <w:color w:val="6E6158"/>
        </w:rPr>
        <w:t>Client</w:t>
      </w:r>
      <w:r>
        <w:rPr>
          <w:color w:val="6E6158"/>
          <w:spacing w:val="9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Wealth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Preservation</w:t>
      </w:r>
    </w:p>
    <w:p>
      <w:pPr>
        <w:pStyle w:val="BodyText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422" w:lineRule="auto" w:before="88"/>
        <w:ind w:left="377" w:right="84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619132</wp:posOffset>
                </wp:positionH>
                <wp:positionV relativeFrom="paragraph">
                  <wp:posOffset>852168</wp:posOffset>
                </wp:positionV>
                <wp:extent cx="20955" cy="2095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7.099884pt;width:1.65pt;height:1.65pt;mso-position-horizontal-relative:page;mso-position-vertical-relative:paragraph;z-index:-15726080;mso-wrap-distance-left:0;mso-wrap-distance-right:0" id="docshape20" coordorigin="975,1342" coordsize="33,33" path="m996,1375l987,1375,983,1373,977,1367,975,1363,975,1354,977,1350,983,1344,987,1342,996,1342,1000,1344,1006,1350,1008,1354,1008,1358,1008,1363,1006,1367,1000,1373,996,137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3248" id="docshape21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337804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6.598759pt;width:1.65pt;height:1.65pt;mso-position-horizontal-relative:page;mso-position-vertical-relative:paragraph;z-index:15733760" id="docshape22" coordorigin="975,532" coordsize="33,33" path="m996,565l987,565,983,563,977,557,975,553,975,544,977,540,983,534,987,532,996,532,1000,534,1006,540,1008,544,1008,548,1008,553,1006,557,1000,563,9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601337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47.349384pt;width:1.65pt;height:1.65pt;mso-position-horizontal-relative:page;mso-position-vertical-relative:paragraph;z-index:15734272" id="docshape23" coordorigin="975,947" coordsize="33,33" path="m996,980l987,980,983,978,977,972,975,968,975,959,977,955,983,949,987,947,996,947,1000,949,1006,955,1008,959,1008,963,1008,968,1006,972,1000,978,996,9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Estate Litigation Estate Planning</w:t>
      </w:r>
    </w:p>
    <w:p>
      <w:pPr>
        <w:pStyle w:val="BodyText"/>
        <w:spacing w:line="176" w:lineRule="exact"/>
        <w:ind w:left="377"/>
      </w:pPr>
      <w:r>
        <w:rPr>
          <w:color w:val="6E6158"/>
        </w:rPr>
        <w:t>Tax</w:t>
      </w:r>
      <w:r>
        <w:rPr>
          <w:color w:val="6E6158"/>
          <w:spacing w:val="-4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133617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1073pt;width:1.65pt;height:1.65pt;mso-position-horizontal-relative:page;mso-position-vertical-relative:paragraph;z-index:15734784" id="docshape24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1"/>
        <w:rPr>
          <w:b/>
          <w:sz w:val="12"/>
        </w:rPr>
      </w:pPr>
      <w:r>
        <w:rPr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619132</wp:posOffset>
                </wp:positionH>
                <wp:positionV relativeFrom="paragraph">
                  <wp:posOffset>115651</wp:posOffset>
                </wp:positionV>
                <wp:extent cx="20955" cy="2095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06445pt;width:1.65pt;height:1.65pt;mso-position-horizontal-relative:page;mso-position-vertical-relative:paragraph;z-index:-15725568;mso-wrap-distance-left:0;mso-wrap-distance-right:0" id="docshape25" coordorigin="975,182" coordsize="33,33" path="m996,215l987,215,983,213,977,207,975,203,975,194,977,190,983,184,987,182,996,182,1000,184,1006,190,1008,194,1008,198,1008,203,1006,207,1000,213,996,21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Closely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Held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Companies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Family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Businesses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6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619132</wp:posOffset>
                </wp:positionH>
                <wp:positionV relativeFrom="paragraph">
                  <wp:posOffset>89120</wp:posOffset>
                </wp:positionV>
                <wp:extent cx="20955" cy="2095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017334pt;width:1.65pt;height:1.65pt;mso-position-horizontal-relative:page;mso-position-vertical-relative:paragraph;z-index:-15725056;mso-wrap-distance-left:0;mso-wrap-distance-right:0" id="docshape26" coordorigin="975,140" coordsize="33,33" path="m996,173l987,173,983,171,977,165,975,161,975,152,977,148,983,142,987,140,996,140,1000,142,1006,148,1008,152,1008,157,1008,161,1006,165,1000,171,996,173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619132</wp:posOffset>
                </wp:positionH>
                <wp:positionV relativeFrom="paragraph">
                  <wp:posOffset>83874</wp:posOffset>
                </wp:positionV>
                <wp:extent cx="20955" cy="2095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604297pt;width:1.65pt;height:1.65pt;mso-position-horizontal-relative:page;mso-position-vertical-relative:paragraph;z-index:-15724544;mso-wrap-distance-left:0;mso-wrap-distance-right:0" id="docshape27" coordorigin="975,132" coordsize="33,33" path="m996,165l987,165,983,163,977,157,975,153,975,144,977,140,983,134,987,132,996,132,1000,134,1006,140,1008,144,1008,148,1008,153,1006,157,1000,163,996,165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398" w:lineRule="auto" w:before="0"/>
        <w:ind w:left="377" w:right="910" w:firstLine="0"/>
        <w:jc w:val="left"/>
        <w:rPr>
          <w:sz w:val="19"/>
        </w:rPr>
      </w:pP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 Closely Held Companies and Family Business Law, 2022-</w:t>
      </w:r>
      <w:r>
        <w:rPr>
          <w:color w:val="6E6158"/>
          <w:sz w:val="19"/>
        </w:rPr>
        <w:t>2025 Recommended in </w:t>
      </w:r>
      <w:r>
        <w:rPr>
          <w:i/>
          <w:color w:val="6E6158"/>
          <w:sz w:val="20"/>
        </w:rPr>
        <w:t>The Legal 500 US</w:t>
      </w:r>
      <w:r>
        <w:rPr>
          <w:color w:val="6E6158"/>
          <w:sz w:val="19"/>
        </w:rPr>
        <w:t>, Real Estate, 2011, 2014, 2019-2020</w:t>
      </w:r>
    </w:p>
    <w:p>
      <w:pPr>
        <w:spacing w:line="245" w:lineRule="exact" w:before="0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-277262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-21.831697pt;width:1.65pt;height:1.65pt;mso-position-horizontal-relative:page;mso-position-vertical-relative:paragraph;z-index:15735296" id="docshape28" coordorigin="975,-437" coordsize="33,33" path="m996,-404l987,-404,983,-406,977,-412,975,-416,975,-425,977,-429,983,-435,987,-437,996,-437,1000,-435,1006,-429,1008,-425,1008,-420,1008,-416,1006,-412,1000,-406,996,-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-18896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-1.487949pt;width:1.65pt;height:1.65pt;mso-position-horizontal-relative:page;mso-position-vertical-relative:paragraph;z-index:15735808" id="docshape29" coordorigin="975,-30" coordsize="33,33" path="m996,3l987,3,983,1,977,-5,975,-9,975,-18,977,-22,983,-28,987,-30,996,-30,1000,-28,1006,-22,1008,-18,1008,-13,1008,-9,1006,-5,1000,1,996,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USA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2014-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96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89155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020097pt;width:1.65pt;height:1.65pt;mso-position-horizontal-relative:page;mso-position-vertical-relative:paragraph;z-index:15736320" id="docshape30" coordorigin="975,140" coordsize="33,33" path="m996,173l987,173,983,171,977,165,975,161,975,152,977,148,983,142,987,140,996,140,1000,142,1006,148,1008,152,1008,157,1008,161,1006,165,1000,171,996,1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77" w:right="3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116654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5398pt;width:1.65pt;height:1.65pt;mso-position-horizontal-relative:page;mso-position-vertical-relative:paragraph;z-index:15736832" id="docshape31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Co-Author, Fennemore Notice To Clients – Corporate Transparency Act, Fennemore Client Alert, </w:t>
        </w:r>
        <w:r>
          <w:rPr>
            <w:color w:val="F5821F"/>
          </w:rPr>
          <w:t>December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29, 2023</w:t>
        </w:r>
      </w:hyperlink>
    </w:p>
    <w:p>
      <w:pPr>
        <w:pStyle w:val="BodyText"/>
        <w:spacing w:line="292" w:lineRule="auto" w:before="131"/>
        <w:ind w:left="377" w:right="2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106759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06246pt;width:1.65pt;height:1.65pt;mso-position-horizontal-relative:page;mso-position-vertical-relative:paragraph;z-index:15737344" id="docshape32" coordorigin="975,168" coordsize="33,33" path="m996,201l987,201,983,199,977,193,975,189,975,180,977,176,983,170,987,168,996,168,1000,170,1006,176,1008,180,1008,184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“IRS and the Arizona Department of Revenue Extend Tax Filing Deadlines to July 15,” Fennemore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Client Alert, March 26, 2020</w:t>
        </w:r>
      </w:hyperlink>
    </w:p>
    <w:p>
      <w:pPr>
        <w:spacing w:line="278" w:lineRule="auto" w:before="114"/>
        <w:ind w:left="377" w:right="26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101856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2022pt;width:1.65pt;height:1.65pt;mso-position-horizontal-relative:page;mso-position-vertical-relative:paragraph;z-index:15737856" id="docshape33" coordorigin="975,160" coordsize="33,33" path="m996,193l987,193,983,191,977,185,975,181,975,172,977,168,983,162,987,160,996,160,1000,162,1006,168,1008,172,1008,177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“End-of-year Business Advice for Northern Nevada Businesses (Opinion),” </w:t>
      </w:r>
      <w:r>
        <w:rPr>
          <w:i/>
          <w:color w:val="6E6158"/>
          <w:sz w:val="20"/>
        </w:rPr>
        <w:t>Northern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z w:val="20"/>
        </w:rPr>
        <w:t> Business View, </w:t>
      </w:r>
      <w:r>
        <w:rPr>
          <w:color w:val="6E6158"/>
          <w:sz w:val="19"/>
        </w:rPr>
        <w:t>December 11, 2018</w:t>
      </w:r>
    </w:p>
    <w:p>
      <w:pPr>
        <w:pStyle w:val="BodyText"/>
        <w:spacing w:line="292" w:lineRule="auto" w:before="141"/>
        <w:ind w:left="377" w:right="9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112605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866547pt;width:1.65pt;height:1.65pt;mso-position-horizontal-relative:page;mso-position-vertical-relative:paragraph;z-index:15738368" id="docshape34" coordorigin="975,177" coordsize="33,33" path="m996,210l987,210,983,208,977,202,975,198,975,189,977,185,983,179,987,177,996,177,1000,179,1006,185,1008,189,1008,194,1008,198,1006,202,1000,208,996,2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“IRS Proposes Eliminating Charitable Deduction for Donations to State Tuition Tax </w:t>
        </w:r>
        <w:r>
          <w:rPr>
            <w:color w:val="FF8100"/>
          </w:rPr>
          <w:t>Credit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Programs,” Fennemore Client Alert, August 24, 2018</w:t>
        </w:r>
      </w:hyperlink>
    </w:p>
    <w:p>
      <w:pPr>
        <w:pStyle w:val="BodyText"/>
        <w:spacing w:line="302" w:lineRule="auto" w:before="123"/>
        <w:ind w:left="377" w:right="2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101352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052pt;width:1.65pt;height:1.65pt;mso-position-horizontal-relative:page;mso-position-vertical-relative:paragraph;z-index:15738880" id="docshape35" coordorigin="975,160" coordsize="33,33" path="m996,192l987,192,983,191,977,184,975,180,975,171,977,168,983,161,987,160,996,160,1000,161,1006,168,1008,171,1008,176,1008,180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“Qualified Opportunity Zones: A New Program Allowing Taxpayers to Defer or Eliminate </w:t>
        </w:r>
        <w:r>
          <w:rPr>
            <w:color w:val="FF8100"/>
          </w:rPr>
          <w:t>Capital</w:t>
        </w:r>
      </w:hyperlink>
      <w:r>
        <w:rPr>
          <w:color w:val="FF8100"/>
          <w:spacing w:val="40"/>
        </w:rPr>
        <w:t> </w:t>
      </w:r>
      <w:hyperlink r:id="rId14">
        <w:r>
          <w:rPr>
            <w:color w:val="FF8100"/>
          </w:rPr>
          <w:t>Gains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When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Investing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Economically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Disadvantaged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Areas,”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17,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2018</w:t>
        </w:r>
      </w:hyperlink>
    </w:p>
    <w:p>
      <w:pPr>
        <w:pStyle w:val="BodyText"/>
        <w:spacing w:line="408" w:lineRule="auto" w:before="113"/>
        <w:ind w:left="377" w:right="29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94863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69552pt;width:1.65pt;height:1.65pt;mso-position-horizontal-relative:page;mso-position-vertical-relative:paragraph;z-index:15739392" id="docshape36" coordorigin="975,149" coordsize="33,33" path="m996,182l987,182,983,180,977,174,975,170,975,161,977,157,983,151,987,149,996,149,1000,151,1006,157,1008,161,1008,166,1008,170,1006,174,1000,180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353228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7.813301pt;width:1.65pt;height:1.65pt;mso-position-horizontal-relative:page;mso-position-vertical-relative:paragraph;z-index:15739904" id="docshape37" coordorigin="975,556" coordsize="33,33" path="m996,589l987,589,983,587,977,581,975,577,975,568,977,564,983,558,987,556,996,556,1000,558,1006,564,1008,568,1008,573,1008,577,1006,581,1000,587,996,5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“Phoenix Tax Workshop,” Arizona Society of CPAs, June 16, </w:t>
      </w:r>
      <w:r>
        <w:rPr>
          <w:color w:val="6E6158"/>
        </w:rPr>
        <w:t>2018 Quoted, “Healthcare in Today’s Workplace,” </w:t>
      </w:r>
      <w:r>
        <w:rPr>
          <w:i/>
          <w:color w:val="6E6158"/>
          <w:sz w:val="20"/>
        </w:rPr>
        <w:t>InBusiness, </w:t>
      </w:r>
      <w:r>
        <w:rPr>
          <w:color w:val="6E6158"/>
        </w:rPr>
        <w:t>April 2017</w:t>
      </w:r>
    </w:p>
    <w:p>
      <w:pPr>
        <w:spacing w:line="269" w:lineRule="exact" w:before="0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23656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6269pt;width:1.65pt;height:1.65pt;mso-position-horizontal-relative:page;mso-position-vertical-relative:paragraph;z-index:15740416" id="docshape38" coordorigin="975,37" coordsize="33,33" path="m996,70l987,70,983,68,977,62,975,58,975,49,977,45,983,39,987,37,996,37,1000,39,1006,45,1008,49,1008,54,1008,58,1006,62,1000,68,996,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“When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Do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Targeted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Allocations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Need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Economic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Effect?”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Real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Estate Taxation,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3</w:t>
      </w:r>
      <w:r>
        <w:rPr>
          <w:color w:val="6E6158"/>
          <w:position w:val="7"/>
          <w:sz w:val="16"/>
        </w:rPr>
        <w:t>rd</w:t>
      </w:r>
      <w:r>
        <w:rPr>
          <w:color w:val="6E6158"/>
          <w:spacing w:val="12"/>
          <w:position w:val="7"/>
          <w:sz w:val="16"/>
        </w:rPr>
        <w:t> </w:t>
      </w:r>
      <w:r>
        <w:rPr>
          <w:color w:val="6E6158"/>
          <w:sz w:val="19"/>
        </w:rPr>
        <w:t>Quarter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2016</w:t>
      </w:r>
    </w:p>
    <w:p>
      <w:pPr>
        <w:pStyle w:val="BodyText"/>
        <w:spacing w:before="46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77" w:right="57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116780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5327pt;width:1.65pt;height:1.65pt;mso-position-horizontal-relative:page;mso-position-vertical-relative:paragraph;z-index:15740928" id="docshape39" coordorigin="975,184" coordsize="33,33" path="m996,216l987,216,983,215,977,209,975,205,975,196,977,192,983,185,987,184,996,184,1000,185,1006,192,1008,196,1008,200,1008,205,1006,209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375146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39076pt;width:1.65pt;height:1.65pt;mso-position-horizontal-relative:page;mso-position-vertical-relative:paragraph;z-index:15741440" id="docshape40" coordorigin="975,591" coordsize="33,33" path="m996,623l987,623,983,622,977,615,975,612,975,603,977,599,983,592,987,591,996,591,1000,592,1006,599,1008,603,1008,607,1008,612,1006,615,1000,622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of Trustees, Arizona Science </w:t>
      </w:r>
      <w:r>
        <w:rPr>
          <w:color w:val="6E6158"/>
        </w:rPr>
        <w:t>Center Member, State Bar of Arizona</w:t>
      </w:r>
    </w:p>
    <w:p>
      <w:pPr>
        <w:pStyle w:val="BodyText"/>
        <w:spacing w:line="420" w:lineRule="auto"/>
        <w:ind w:left="377" w:right="9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22426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65857pt;width:1.65pt;height:1.65pt;mso-position-horizontal-relative:page;mso-position-vertical-relative:paragraph;z-index:15741952" id="docshape41" coordorigin="975,35" coordsize="33,33" path="m996,68l987,68,983,66,977,60,975,56,975,47,977,43,983,37,987,35,996,35,1000,37,1006,43,1008,47,1008,52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619132</wp:posOffset>
                </wp:positionH>
                <wp:positionV relativeFrom="paragraph">
                  <wp:posOffset>280791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109606pt;width:1.65pt;height:1.65pt;mso-position-horizontal-relative:page;mso-position-vertical-relative:paragraph;z-index:15742464" id="docshape42" coordorigin="975,442" coordsize="33,33" path="m996,475l987,475,983,473,977,467,975,463,975,454,977,450,983,444,987,442,996,442,1000,444,1006,450,1008,454,1008,458,1008,463,1006,467,1000,473,996,47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Ronald McDonald House Charities of Phoenix, Inc., Board of Directors, 1999-2009; President, 2007, 2008</w:t>
      </w:r>
      <w:r>
        <w:rPr>
          <w:color w:val="6E6158"/>
          <w:spacing w:val="40"/>
        </w:rPr>
        <w:t> </w:t>
      </w:r>
      <w:r>
        <w:rPr>
          <w:color w:val="6E6158"/>
        </w:rPr>
        <w:t>Reporter</w:t>
      </w:r>
      <w:r>
        <w:rPr>
          <w:color w:val="6E6158"/>
          <w:spacing w:val="26"/>
        </w:rPr>
        <w:t> </w:t>
      </w:r>
      <w:r>
        <w:rPr>
          <w:color w:val="6E6158"/>
        </w:rPr>
        <w:t>–</w:t>
      </w:r>
      <w:r>
        <w:rPr>
          <w:color w:val="6E6158"/>
          <w:spacing w:val="26"/>
        </w:rPr>
        <w:t> </w:t>
      </w:r>
      <w:r>
        <w:rPr>
          <w:color w:val="6E6158"/>
        </w:rPr>
        <w:t>69th</w:t>
      </w:r>
      <w:r>
        <w:rPr>
          <w:color w:val="6E6158"/>
          <w:spacing w:val="26"/>
        </w:rPr>
        <w:t> </w:t>
      </w:r>
      <w:r>
        <w:rPr>
          <w:color w:val="6E6158"/>
        </w:rPr>
        <w:t>Arizona</w:t>
      </w:r>
      <w:r>
        <w:rPr>
          <w:color w:val="6E6158"/>
          <w:spacing w:val="26"/>
        </w:rPr>
        <w:t> </w:t>
      </w:r>
      <w:r>
        <w:rPr>
          <w:color w:val="6E6158"/>
        </w:rPr>
        <w:t>Town</w:t>
      </w:r>
      <w:r>
        <w:rPr>
          <w:color w:val="6E6158"/>
          <w:spacing w:val="26"/>
        </w:rPr>
        <w:t> </w:t>
      </w:r>
      <w:r>
        <w:rPr>
          <w:color w:val="6E6158"/>
        </w:rPr>
        <w:t>Hall</w:t>
      </w:r>
      <w:r>
        <w:rPr>
          <w:color w:val="6E6158"/>
          <w:spacing w:val="26"/>
        </w:rPr>
        <w:t> </w:t>
      </w:r>
      <w:r>
        <w:rPr>
          <w:color w:val="6E6158"/>
        </w:rPr>
        <w:t>–</w:t>
      </w:r>
      <w:r>
        <w:rPr>
          <w:color w:val="6E6158"/>
          <w:spacing w:val="26"/>
        </w:rPr>
        <w:t> </w:t>
      </w:r>
      <w:r>
        <w:rPr>
          <w:color w:val="6E6158"/>
        </w:rPr>
        <w:t>“Building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Community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Citizens</w:t>
      </w:r>
      <w:r>
        <w:rPr>
          <w:color w:val="6E6158"/>
          <w:spacing w:val="26"/>
        </w:rPr>
        <w:t> </w:t>
      </w:r>
      <w:r>
        <w:rPr>
          <w:color w:val="6E6158"/>
        </w:rPr>
        <w:t>for</w:t>
      </w:r>
      <w:r>
        <w:rPr>
          <w:color w:val="6E6158"/>
          <w:spacing w:val="26"/>
        </w:rPr>
        <w:t> </w:t>
      </w:r>
      <w:r>
        <w:rPr>
          <w:color w:val="6E6158"/>
        </w:rPr>
        <w:t>Arizona,”</w:t>
      </w:r>
      <w:r>
        <w:rPr>
          <w:color w:val="6E6158"/>
          <w:spacing w:val="26"/>
        </w:rPr>
        <w:t> </w:t>
      </w:r>
      <w:r>
        <w:rPr>
          <w:color w:val="6E6158"/>
        </w:rPr>
        <w:t>1996</w:t>
      </w:r>
    </w:p>
    <w:p>
      <w:pPr>
        <w:pStyle w:val="Heading1"/>
        <w:spacing w:before="166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619132</wp:posOffset>
                </wp:positionH>
                <wp:positionV relativeFrom="paragraph">
                  <wp:posOffset>116701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9121pt;width:1.65pt;height:1.65pt;mso-position-horizontal-relative:page;mso-position-vertical-relative:paragraph;z-index:15742976" id="docshape43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2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good@fennemorelaw.com" TargetMode="External"/><Relationship Id="rId11" Type="http://schemas.openxmlformats.org/officeDocument/2006/relationships/hyperlink" Target="https://www.fennemorelaw.com/wp-content/uploads/2023/12/Corporate-Formation-Filings-and-Deadlines-Fennemore-Notice-to-Clients-re-CTA.pdf" TargetMode="External"/><Relationship Id="rId12" Type="http://schemas.openxmlformats.org/officeDocument/2006/relationships/hyperlink" Target="https://www.fennemorelaw.com/insights/newsletters/2020/irs-and-the-arizona-department-of-revenue-extend-tax-filing-deadlines-to-july-15" TargetMode="External"/><Relationship Id="rId13" Type="http://schemas.openxmlformats.org/officeDocument/2006/relationships/hyperlink" Target="https://www.fennemorelaw.com/insights/newsletters/2018/irs-proposes-eliminating-charitable-deduction-for-donations-to-state-tuition-tax-credit-programs" TargetMode="External"/><Relationship Id="rId14" Type="http://schemas.openxmlformats.org/officeDocument/2006/relationships/hyperlink" Target="https://www.fennemorelaw.com/insights/newsletters/2018/qualified-opportunity-zones-a-new-program-allowing-taxpayers-to-defer-or-eliminate-capital-gains-when-investing-in-economically-disadvantaged-area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2024-11-12T16:17:14Z</dcterms:created>
  <dcterms:modified xsi:type="dcterms:W3CDTF">2024-11-12T16:17:14Z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