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70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-5013940</wp:posOffset>
                </wp:positionV>
                <wp:extent cx="6955790" cy="49580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958080"/>
                          <a:chExt cx="6955790" cy="4958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955790" cy="178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783080">
                                <a:moveTo>
                                  <a:pt x="6955202" y="1782722"/>
                                </a:moveTo>
                                <a:lnTo>
                                  <a:pt x="0" y="1782722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782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639681" y="763308"/>
                            <a:ext cx="11664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TRACY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INSCORE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836523" y="2133494"/>
                            <a:ext cx="772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909.723.1736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79656" y="2500373"/>
                            <a:ext cx="14865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tinscore@fennemorelaw.com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1734" y="3823558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27497" y="3756030"/>
                            <a:ext cx="351662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isn't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justice.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It's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very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imperfect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mechanism.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press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exactly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line="280" w:lineRule="atLeast" w:before="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right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buttons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also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lucky,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justice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show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up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answer.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mechanism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law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was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ever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intended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983719" y="4401944"/>
                            <a:ext cx="10039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Raymond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Chandler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299240" y="3823558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94.798431pt;width:547.7pt;height:390.4pt;mso-position-horizontal-relative:page;mso-position-vertical-relative:paragraph;z-index:15728640" id="docshapegroup1" coordorigin="641,-7896" coordsize="10954,7808">
                <v:rect style="position:absolute;left:641;top:-2916;width:10954;height:2808" id="docshape2" filled="true" fillcolor="#002e6d" stroked="false">
                  <v:fill type="solid"/>
                </v:rect>
                <v:shape style="position:absolute;left:641;top:-7896;width:2165;height:424" type="#_x0000_t75" id="docshape3" href="https://www.fennemorelaw.com/" stroked="false">
                  <v:imagedata r:id="rId5" o:title=""/>
                </v:shape>
                <v:shape style="position:absolute;left:641;top:-7473;width:5477;height:4557" type="#_x0000_t75" id="docshape4" stroked="false">
                  <v:imagedata r:id="rId7" o:title=""/>
                </v:shape>
                <v:rect style="position:absolute;left:6117;top:-7473;width:5477;height:4557" id="docshape5" filled="true" fillcolor="#262424" stroked="false">
                  <v:fill type="solid"/>
                </v:rect>
                <v:shape style="position:absolute;left:7192;top:-5309;width:3337;height:505" id="docshape6" coordorigin="7192,-5308" coordsize="3337,505" path="m10528,-4812l7192,-4812,7192,-4804,10528,-4804,10528,-4812xm10528,-5308l7192,-5308,7192,-5300,10528,-5300,10528,-530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947;top:-6694;width:183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TRACY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INSCORE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7;top:-4537;width:121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4284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909.723.1736</w:t>
                        </w:r>
                      </w:p>
                    </w:txbxContent>
                  </v:textbox>
                  <w10:wrap type="none"/>
                </v:shape>
                <v:shape style="position:absolute;left:9305;top:-4284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695;top:-3959;width:2341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tinscore@fennemorelaw.com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87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61;top:-1981;width:5538;height:77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isn't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justice.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It's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very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imperfect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mechanism.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press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exactly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the</w:t>
                        </w:r>
                      </w:p>
                      <w:p>
                        <w:pPr>
                          <w:spacing w:line="280" w:lineRule="atLeast" w:before="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right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buttons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also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lucky,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justice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show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up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answer.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 </w:t>
                        </w:r>
                        <w:r>
                          <w:rPr>
                            <w:color w:val="FFFFFF"/>
                            <w:sz w:val="16"/>
                          </w:rPr>
                          <w:t>mechanism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law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was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ever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intended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be.</w:t>
                        </w:r>
                      </w:p>
                    </w:txbxContent>
                  </v:textbox>
                  <w10:wrap type="none"/>
                </v:shape>
                <v:shape style="position:absolute;left:5340;top:-964;width:1581;height:200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Raymond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Chandler</w:t>
                        </w:r>
                      </w:p>
                    </w:txbxContent>
                  </v:textbox>
                  <w10:wrap type="none"/>
                </v:shape>
                <v:shape style="position:absolute;left:8986;top:-187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TRACY</w:t>
      </w:r>
      <w:r>
        <w:rPr>
          <w:color w:val="FF8100"/>
          <w:spacing w:val="6"/>
        </w:rPr>
        <w:t> </w:t>
      </w:r>
      <w:r>
        <w:rPr>
          <w:color w:val="FF8100"/>
        </w:rPr>
        <w:t>M.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INSCORE</w:t>
      </w:r>
    </w:p>
    <w:p>
      <w:pPr>
        <w:pStyle w:val="BodyText"/>
        <w:spacing w:line="297" w:lineRule="auto" w:before="146"/>
        <w:ind w:left="124" w:right="235"/>
      </w:pPr>
      <w:r>
        <w:rPr>
          <w:color w:val="6E6158"/>
        </w:rPr>
        <w:t>Tracy Inscore has more than 13 years of experience assisting a variety of regional, national and multi-national</w:t>
      </w:r>
      <w:r>
        <w:rPr>
          <w:color w:val="6E6158"/>
          <w:spacing w:val="80"/>
        </w:rPr>
        <w:t> </w:t>
      </w:r>
      <w:r>
        <w:rPr>
          <w:color w:val="6E6158"/>
        </w:rPr>
        <w:t>clients with all aspects of commercial, industrial and residential development, often involving controversial</w:t>
      </w:r>
      <w:r>
        <w:rPr>
          <w:color w:val="6E6158"/>
          <w:spacing w:val="80"/>
        </w:rPr>
        <w:t> </w:t>
      </w:r>
      <w:r>
        <w:rPr>
          <w:color w:val="6E6158"/>
        </w:rPr>
        <w:t>projects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complex</w:t>
      </w:r>
      <w:r>
        <w:rPr>
          <w:color w:val="6E6158"/>
          <w:spacing w:val="39"/>
        </w:rPr>
        <w:t> </w:t>
      </w:r>
      <w:r>
        <w:rPr>
          <w:color w:val="6E6158"/>
        </w:rPr>
        <w:t>environmental</w:t>
      </w:r>
      <w:r>
        <w:rPr>
          <w:color w:val="6E6158"/>
          <w:spacing w:val="39"/>
        </w:rPr>
        <w:t> </w:t>
      </w:r>
      <w:r>
        <w:rPr>
          <w:color w:val="6E6158"/>
        </w:rPr>
        <w:t>regulations,</w:t>
      </w:r>
      <w:r>
        <w:rPr>
          <w:color w:val="6E6158"/>
          <w:spacing w:val="39"/>
        </w:rPr>
        <w:t> </w:t>
      </w:r>
      <w:r>
        <w:rPr>
          <w:color w:val="6E6158"/>
        </w:rPr>
        <w:t>including</w:t>
      </w:r>
      <w:r>
        <w:rPr>
          <w:color w:val="6E6158"/>
          <w:spacing w:val="39"/>
        </w:rPr>
        <w:t> </w:t>
      </w:r>
      <w:r>
        <w:rPr>
          <w:color w:val="6E6158"/>
        </w:rPr>
        <w:t>the</w:t>
      </w:r>
      <w:r>
        <w:rPr>
          <w:color w:val="6E6158"/>
          <w:spacing w:val="39"/>
        </w:rPr>
        <w:t> </w:t>
      </w:r>
      <w:r>
        <w:rPr>
          <w:color w:val="6E6158"/>
        </w:rPr>
        <w:t>California</w:t>
      </w:r>
      <w:r>
        <w:rPr>
          <w:color w:val="6E6158"/>
          <w:spacing w:val="39"/>
        </w:rPr>
        <w:t> </w:t>
      </w:r>
      <w:r>
        <w:rPr>
          <w:color w:val="6E6158"/>
        </w:rPr>
        <w:t>Environmental</w:t>
      </w:r>
      <w:r>
        <w:rPr>
          <w:color w:val="6E6158"/>
          <w:spacing w:val="39"/>
        </w:rPr>
        <w:t> </w:t>
      </w:r>
      <w:r>
        <w:rPr>
          <w:color w:val="6E6158"/>
        </w:rPr>
        <w:t>Quality</w:t>
      </w:r>
      <w:r>
        <w:rPr>
          <w:color w:val="6E6158"/>
          <w:spacing w:val="39"/>
        </w:rPr>
        <w:t> </w:t>
      </w:r>
      <w:r>
        <w:rPr>
          <w:color w:val="6E6158"/>
        </w:rPr>
        <w:t>Act</w:t>
      </w:r>
      <w:r>
        <w:rPr>
          <w:color w:val="6E6158"/>
          <w:spacing w:val="39"/>
        </w:rPr>
        <w:t> </w:t>
      </w:r>
      <w:r>
        <w:rPr>
          <w:color w:val="6E6158"/>
        </w:rPr>
        <w:t>(CEQA). She has extensive experience representing clients before various local agencies, administrative and legislative</w:t>
      </w:r>
      <w:r>
        <w:rPr>
          <w:color w:val="6E6158"/>
          <w:spacing w:val="80"/>
        </w:rPr>
        <w:t> </w:t>
      </w:r>
      <w:r>
        <w:rPr>
          <w:color w:val="6E6158"/>
        </w:rPr>
        <w:t>bodies to secure land use approvals and licenses for a variety of business operations, including warehouse and</w:t>
      </w:r>
      <w:r>
        <w:rPr>
          <w:color w:val="6E6158"/>
          <w:spacing w:val="80"/>
        </w:rPr>
        <w:t> </w:t>
      </w:r>
      <w:r>
        <w:rPr>
          <w:color w:val="6E6158"/>
        </w:rPr>
        <w:t>logistics,</w:t>
      </w:r>
      <w:r>
        <w:rPr>
          <w:color w:val="6E6158"/>
          <w:spacing w:val="32"/>
        </w:rPr>
        <w:t> </w:t>
      </w:r>
      <w:r>
        <w:rPr>
          <w:color w:val="6E6158"/>
        </w:rPr>
        <w:t>truck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rail</w:t>
      </w:r>
      <w:r>
        <w:rPr>
          <w:color w:val="6E6158"/>
          <w:spacing w:val="32"/>
        </w:rPr>
        <w:t> </w:t>
      </w:r>
      <w:r>
        <w:rPr>
          <w:color w:val="6E6158"/>
        </w:rPr>
        <w:t>transportation,</w:t>
      </w:r>
      <w:r>
        <w:rPr>
          <w:color w:val="6E6158"/>
          <w:spacing w:val="32"/>
        </w:rPr>
        <w:t> </w:t>
      </w:r>
      <w:r>
        <w:rPr>
          <w:color w:val="6E6158"/>
        </w:rPr>
        <w:t>outdoor</w:t>
      </w:r>
      <w:r>
        <w:rPr>
          <w:color w:val="6E6158"/>
          <w:spacing w:val="32"/>
        </w:rPr>
        <w:t> </w:t>
      </w:r>
      <w:r>
        <w:rPr>
          <w:color w:val="6E6158"/>
        </w:rPr>
        <w:t>advertising,</w:t>
      </w:r>
      <w:r>
        <w:rPr>
          <w:color w:val="6E6158"/>
          <w:spacing w:val="32"/>
        </w:rPr>
        <w:t> </w:t>
      </w:r>
      <w:r>
        <w:rPr>
          <w:color w:val="6E6158"/>
        </w:rPr>
        <w:t>bioenergy</w:t>
      </w:r>
      <w:r>
        <w:rPr>
          <w:color w:val="6E6158"/>
          <w:spacing w:val="32"/>
        </w:rPr>
        <w:t> </w:t>
      </w:r>
      <w:r>
        <w:rPr>
          <w:color w:val="6E6158"/>
        </w:rPr>
        <w:t>facilities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large-scale</w:t>
      </w:r>
      <w:r>
        <w:rPr>
          <w:color w:val="6E6158"/>
          <w:spacing w:val="32"/>
        </w:rPr>
        <w:t> </w:t>
      </w:r>
      <w:r>
        <w:rPr>
          <w:color w:val="6E6158"/>
        </w:rPr>
        <w:t>retail</w:t>
      </w:r>
      <w:r>
        <w:rPr>
          <w:color w:val="6E6158"/>
          <w:spacing w:val="32"/>
        </w:rPr>
        <w:t> </w:t>
      </w:r>
      <w:r>
        <w:rPr>
          <w:color w:val="6E6158"/>
        </w:rPr>
        <w:t>uses.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</w:p>
    <w:p>
      <w:pPr>
        <w:pStyle w:val="BodyText"/>
        <w:spacing w:line="292" w:lineRule="auto"/>
        <w:ind w:left="124"/>
      </w:pPr>
      <w:r>
        <w:rPr>
          <w:color w:val="6E6158"/>
        </w:rPr>
        <w:t>addition, she has represented a local land conservancy to facilitate the acquisition of dozens of conservation</w:t>
      </w:r>
      <w:r>
        <w:rPr>
          <w:color w:val="6E6158"/>
          <w:spacing w:val="80"/>
        </w:rPr>
        <w:t> </w:t>
      </w:r>
      <w:r>
        <w:rPr>
          <w:color w:val="6E6158"/>
        </w:rPr>
        <w:t>easements to preserve land as open space in appropriate locations.</w:t>
      </w:r>
    </w:p>
    <w:p>
      <w:pPr>
        <w:pStyle w:val="BodyText"/>
        <w:spacing w:line="297" w:lineRule="auto" w:before="189"/>
        <w:ind w:left="124" w:right="289"/>
      </w:pPr>
      <w:r>
        <w:rPr>
          <w:color w:val="6E6158"/>
        </w:rPr>
        <w:t>Tracy is highly experienced in assisting clients with environmental due diligence prior to the acquisition of real</w:t>
      </w:r>
      <w:r>
        <w:rPr>
          <w:color w:val="6E6158"/>
          <w:spacing w:val="80"/>
        </w:rPr>
        <w:t> </w:t>
      </w:r>
      <w:r>
        <w:rPr>
          <w:color w:val="6E6158"/>
        </w:rPr>
        <w:t>property, evaluating potential liability under various hazardous waste laws to allow clients to make informed</w:t>
      </w:r>
      <w:r>
        <w:rPr>
          <w:color w:val="6E6158"/>
          <w:spacing w:val="80"/>
        </w:rPr>
        <w:t> </w:t>
      </w:r>
      <w:r>
        <w:rPr>
          <w:color w:val="6E6158"/>
        </w:rPr>
        <w:t>business</w:t>
      </w:r>
      <w:r>
        <w:rPr>
          <w:color w:val="6E6158"/>
          <w:spacing w:val="30"/>
        </w:rPr>
        <w:t> </w:t>
      </w:r>
      <w:r>
        <w:rPr>
          <w:color w:val="6E6158"/>
        </w:rPr>
        <w:t>decisions,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well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assisting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remediation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contaminated</w:t>
      </w:r>
      <w:r>
        <w:rPr>
          <w:color w:val="6E6158"/>
          <w:spacing w:val="30"/>
        </w:rPr>
        <w:t> </w:t>
      </w:r>
      <w:r>
        <w:rPr>
          <w:color w:val="6E6158"/>
        </w:rPr>
        <w:t>sites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ensuring</w:t>
      </w:r>
      <w:r>
        <w:rPr>
          <w:color w:val="6E6158"/>
          <w:spacing w:val="30"/>
        </w:rPr>
        <w:t> </w:t>
      </w:r>
      <w:r>
        <w:rPr>
          <w:color w:val="6E6158"/>
        </w:rPr>
        <w:t>successful and cost-effective outcomes in various federal, state and local regulatory agency environmental actions,</w:t>
      </w:r>
      <w:r>
        <w:rPr>
          <w:color w:val="6E6158"/>
          <w:spacing w:val="80"/>
        </w:rPr>
        <w:t> </w:t>
      </w:r>
      <w:r>
        <w:rPr>
          <w:color w:val="6E6158"/>
        </w:rPr>
        <w:t>including voluntary cleanup and Brownfield redevelopment. Her ability to build positive working relationships</w:t>
      </w:r>
      <w:r>
        <w:rPr>
          <w:color w:val="6E6158"/>
          <w:spacing w:val="80"/>
        </w:rPr>
        <w:t> </w:t>
      </w:r>
      <w:r>
        <w:rPr>
          <w:color w:val="6E6158"/>
        </w:rPr>
        <w:t>with outside consultants and agency staff yields pragmatic, real-world solutions consistent with her client’s</w:t>
      </w:r>
      <w:r>
        <w:rPr>
          <w:color w:val="6E6158"/>
          <w:spacing w:val="80"/>
        </w:rPr>
        <w:t> </w:t>
      </w:r>
      <w:r>
        <w:rPr>
          <w:color w:val="6E6158"/>
        </w:rPr>
        <w:t>business</w:t>
      </w:r>
      <w:r>
        <w:rPr>
          <w:color w:val="6E6158"/>
          <w:spacing w:val="17"/>
        </w:rPr>
        <w:t> </w:t>
      </w:r>
      <w:r>
        <w:rPr>
          <w:color w:val="6E6158"/>
        </w:rPr>
        <w:t>objectives.</w:t>
      </w:r>
      <w:r>
        <w:rPr>
          <w:color w:val="6E6158"/>
          <w:spacing w:val="17"/>
        </w:rPr>
        <w:t> </w:t>
      </w:r>
      <w:r>
        <w:rPr>
          <w:color w:val="6E6158"/>
        </w:rPr>
        <w:t>She</w:t>
      </w:r>
      <w:r>
        <w:rPr>
          <w:color w:val="6E6158"/>
          <w:spacing w:val="17"/>
        </w:rPr>
        <w:t> </w:t>
      </w:r>
      <w:r>
        <w:rPr>
          <w:color w:val="6E6158"/>
        </w:rPr>
        <w:t>has</w:t>
      </w:r>
      <w:r>
        <w:rPr>
          <w:color w:val="6E6158"/>
          <w:spacing w:val="17"/>
        </w:rPr>
        <w:t> </w:t>
      </w:r>
      <w:r>
        <w:rPr>
          <w:color w:val="6E6158"/>
        </w:rPr>
        <w:t>also</w:t>
      </w:r>
      <w:r>
        <w:rPr>
          <w:color w:val="6E6158"/>
          <w:spacing w:val="17"/>
        </w:rPr>
        <w:t> </w:t>
      </w:r>
      <w:r>
        <w:rPr>
          <w:color w:val="6E6158"/>
        </w:rPr>
        <w:t>negotiated</w:t>
      </w:r>
      <w:r>
        <w:rPr>
          <w:color w:val="6E6158"/>
          <w:spacing w:val="17"/>
        </w:rPr>
        <w:t> </w:t>
      </w:r>
      <w:r>
        <w:rPr>
          <w:color w:val="6E6158"/>
        </w:rPr>
        <w:t>significantly</w:t>
      </w:r>
      <w:r>
        <w:rPr>
          <w:color w:val="6E6158"/>
          <w:spacing w:val="17"/>
        </w:rPr>
        <w:t> </w:t>
      </w:r>
      <w:r>
        <w:rPr>
          <w:color w:val="6E6158"/>
        </w:rPr>
        <w:t>reduced</w:t>
      </w:r>
      <w:r>
        <w:rPr>
          <w:color w:val="6E6158"/>
          <w:spacing w:val="17"/>
        </w:rPr>
        <w:t> </w:t>
      </w:r>
      <w:r>
        <w:rPr>
          <w:color w:val="6E6158"/>
        </w:rPr>
        <w:t>fines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penalties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clients</w:t>
      </w:r>
      <w:r>
        <w:rPr>
          <w:color w:val="6E6158"/>
          <w:spacing w:val="17"/>
        </w:rPr>
        <w:t> </w:t>
      </w:r>
      <w:r>
        <w:rPr>
          <w:color w:val="6E6158"/>
        </w:rPr>
        <w:t>facing</w:t>
      </w:r>
      <w:r>
        <w:rPr>
          <w:color w:val="6E6158"/>
          <w:spacing w:val="17"/>
        </w:rPr>
        <w:t> </w:t>
      </w:r>
      <w:r>
        <w:rPr>
          <w:color w:val="6E6158"/>
        </w:rPr>
        <w:t>notices of violation—while always focusing first and foremost on compliance to help clients avoid violations in the first</w:t>
      </w:r>
      <w:r>
        <w:rPr>
          <w:color w:val="6E6158"/>
          <w:spacing w:val="80"/>
        </w:rPr>
        <w:t> </w:t>
      </w:r>
      <w:r>
        <w:rPr>
          <w:color w:val="6E6158"/>
          <w:spacing w:val="-2"/>
        </w:rPr>
        <w:t>place.</w:t>
      </w:r>
    </w:p>
    <w:p>
      <w:pPr>
        <w:pStyle w:val="BodyText"/>
        <w:spacing w:line="292" w:lineRule="auto" w:before="183"/>
        <w:ind w:left="124" w:right="235"/>
      </w:pPr>
      <w:r>
        <w:rPr>
          <w:color w:val="6E6158"/>
        </w:rPr>
        <w:t>Tracy has previously served as in-house legal counsel and senior editor for a premier, multi-national</w:t>
      </w:r>
      <w:r>
        <w:rPr>
          <w:color w:val="6E6158"/>
          <w:spacing w:val="80"/>
        </w:rPr>
        <w:t> </w:t>
      </w:r>
      <w:r>
        <w:rPr>
          <w:color w:val="6E6158"/>
        </w:rPr>
        <w:t>environmental consulting firm, in addition to holding adjunct faculty positions at several universities and law</w:t>
      </w:r>
      <w:r>
        <w:rPr>
          <w:color w:val="6E6158"/>
          <w:spacing w:val="80"/>
        </w:rPr>
        <w:t> </w:t>
      </w:r>
      <w:r>
        <w:rPr>
          <w:color w:val="6E6158"/>
        </w:rPr>
        <w:t>schools</w:t>
      </w:r>
      <w:r>
        <w:rPr>
          <w:color w:val="6E6158"/>
          <w:spacing w:val="15"/>
        </w:rPr>
        <w:t> </w:t>
      </w:r>
      <w:r>
        <w:rPr>
          <w:color w:val="6E6158"/>
        </w:rPr>
        <w:t>throughout</w:t>
      </w:r>
      <w:r>
        <w:rPr>
          <w:color w:val="6E6158"/>
          <w:spacing w:val="15"/>
        </w:rPr>
        <w:t> </w:t>
      </w:r>
      <w:r>
        <w:rPr>
          <w:color w:val="6E6158"/>
        </w:rPr>
        <w:t>southern</w:t>
      </w:r>
      <w:r>
        <w:rPr>
          <w:color w:val="6E6158"/>
          <w:spacing w:val="15"/>
        </w:rPr>
        <w:t> </w:t>
      </w:r>
      <w:r>
        <w:rPr>
          <w:color w:val="6E6158"/>
        </w:rPr>
        <w:t>California.</w:t>
      </w:r>
      <w:r>
        <w:rPr>
          <w:color w:val="6E6158"/>
          <w:spacing w:val="15"/>
        </w:rPr>
        <w:t> </w:t>
      </w:r>
      <w:r>
        <w:rPr>
          <w:color w:val="6E6158"/>
        </w:rPr>
        <w:t>Having</w:t>
      </w:r>
      <w:r>
        <w:rPr>
          <w:color w:val="6E6158"/>
          <w:spacing w:val="15"/>
        </w:rPr>
        <w:t> </w:t>
      </w:r>
      <w:r>
        <w:rPr>
          <w:color w:val="6E6158"/>
        </w:rPr>
        <w:t>worked</w:t>
      </w:r>
      <w:r>
        <w:rPr>
          <w:color w:val="6E6158"/>
          <w:spacing w:val="15"/>
        </w:rPr>
        <w:t> </w:t>
      </w:r>
      <w:r>
        <w:rPr>
          <w:color w:val="6E6158"/>
        </w:rPr>
        <w:t>since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age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14,</w:t>
      </w:r>
      <w:r>
        <w:rPr>
          <w:color w:val="6E6158"/>
          <w:spacing w:val="15"/>
        </w:rPr>
        <w:t> </w:t>
      </w:r>
      <w:r>
        <w:rPr>
          <w:color w:val="6E6158"/>
        </w:rPr>
        <w:t>her</w:t>
      </w:r>
      <w:r>
        <w:rPr>
          <w:color w:val="6E6158"/>
          <w:spacing w:val="15"/>
        </w:rPr>
        <w:t> </w:t>
      </w:r>
      <w:r>
        <w:rPr>
          <w:color w:val="6E6158"/>
        </w:rPr>
        <w:t>many</w:t>
      </w:r>
      <w:r>
        <w:rPr>
          <w:color w:val="6E6158"/>
          <w:spacing w:val="15"/>
        </w:rPr>
        <w:t> </w:t>
      </w:r>
      <w:r>
        <w:rPr>
          <w:color w:val="6E6158"/>
        </w:rPr>
        <w:t>jobs</w:t>
      </w:r>
      <w:r>
        <w:rPr>
          <w:color w:val="6E6158"/>
          <w:spacing w:val="15"/>
        </w:rPr>
        <w:t> </w:t>
      </w:r>
      <w:r>
        <w:rPr>
          <w:color w:val="6E6158"/>
        </w:rPr>
        <w:t>have</w:t>
      </w:r>
      <w:r>
        <w:rPr>
          <w:color w:val="6E6158"/>
          <w:spacing w:val="15"/>
        </w:rPr>
        <w:t> </w:t>
      </w:r>
      <w:r>
        <w:rPr>
          <w:color w:val="6E6158"/>
        </w:rPr>
        <w:t>contributed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297" w:lineRule="auto" w:before="88"/>
        <w:ind w:left="124" w:right="235"/>
      </w:pPr>
      <w:r>
        <w:rPr>
          <w:color w:val="6E6158"/>
        </w:rPr>
        <w:t>her practical, creative approach to lawyering and the ability to see the “big picture” beyond just the legal</w:t>
      </w:r>
      <w:r>
        <w:rPr>
          <w:color w:val="6E6158"/>
          <w:spacing w:val="80"/>
        </w:rPr>
        <w:t> </w:t>
      </w:r>
      <w:r>
        <w:rPr>
          <w:color w:val="6E6158"/>
        </w:rPr>
        <w:t>aspects of an issue. Outside of work, she is dedicated to health and fitness and many holistic wellness and</w:t>
      </w:r>
      <w:r>
        <w:rPr>
          <w:color w:val="6E6158"/>
          <w:spacing w:val="80"/>
        </w:rPr>
        <w:t> </w:t>
      </w:r>
      <w:r>
        <w:rPr>
          <w:color w:val="6E6158"/>
        </w:rPr>
        <w:t>mindfulness practices.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77" w:right="35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116206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0153pt;width:1.65pt;height:1.65pt;mso-position-horizontal-relative:page;mso-position-vertical-relative:paragraph;z-index:15729152" id="docshape16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374572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493902pt;width:1.65pt;height:1.65pt;mso-position-horizontal-relative:page;mso-position-vertical-relative:paragraph;z-index:15729664" id="docshape17" coordorigin="975,590" coordsize="33,33" path="m996,622l987,622,983,621,977,614,975,611,975,602,977,598,983,591,987,590,996,590,1000,591,1006,598,1008,602,1008,606,1008,611,1006,614,1000,621,996,6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the Pacific, McGeorge School of Law, With </w:t>
      </w:r>
      <w:r>
        <w:rPr>
          <w:color w:val="6E6158"/>
        </w:rPr>
        <w:t>Distinction</w:t>
      </w:r>
      <w:r>
        <w:rPr>
          <w:color w:val="6E6158"/>
        </w:rPr>
        <w:t> B.A., California State University at San Bernardino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55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121582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73417pt;width:1.65pt;height:1.65pt;mso-position-horizontal-relative:page;mso-position-vertical-relative:paragraph;z-index:15730176" id="docshape18" coordorigin="975,191" coordsize="33,33" path="m996,224l987,224,983,222,977,216,975,212,975,203,977,199,983,193,987,191,996,191,1000,193,1006,199,1008,203,1008,208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line="420" w:lineRule="auto" w:before="174"/>
        <w:ind w:left="377" w:right="83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133597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9461pt;width:1.65pt;height:1.65pt;mso-position-horizontal-relative:page;mso-position-vertical-relative:paragraph;z-index:15730688" id="docshape19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391962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63211pt;width:1.65pt;height:1.65pt;mso-position-horizontal-relative:page;mso-position-vertical-relative:paragraph;z-index:15731200" id="docshape20" coordorigin="975,617" coordsize="33,33" path="m996,650l987,650,983,648,977,642,975,638,975,629,977,625,983,619,987,617,996,617,1000,619,1006,625,1008,629,1008,634,1008,638,1006,642,1000,648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</w:t>
      </w:r>
      <w:r>
        <w:rPr>
          <w:color w:val="6E6158"/>
        </w:rPr>
        <w:t>Resources Real Estate</w:t>
      </w:r>
    </w:p>
    <w:p>
      <w:pPr>
        <w:pStyle w:val="Heading1"/>
        <w:spacing w:before="15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116660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585pt;width:1.65pt;height:1.65pt;mso-position-horizontal-relative:page;mso-position-vertical-relative:paragraph;z-index:15731712" id="docshape21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“Focus on Cultivating a Reputation of Excellence, Be the Most Prepared Person in the Room and</w:t>
        </w:r>
      </w:hyperlink>
      <w:r>
        <w:rPr>
          <w:color w:val="F5821F"/>
          <w:spacing w:val="80"/>
        </w:rPr>
        <w:t> </w:t>
      </w:r>
      <w:hyperlink r:id="rId11">
        <w:r>
          <w:rPr>
            <w:color w:val="F5821F"/>
          </w:rPr>
          <w:t>Witness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Humanity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Each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Person,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Regardless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Gender,”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March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2,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2023</w:t>
        </w:r>
      </w:hyperlink>
    </w:p>
    <w:p>
      <w:pPr>
        <w:pStyle w:val="Heading1"/>
        <w:spacing w:before="27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7" w:lineRule="auto" w:before="147"/>
        <w:ind w:left="377" w:right="4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116468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074pt;width:1.65pt;height:1.65pt;mso-position-horizontal-relative:page;mso-position-vertical-relative:paragraph;z-index:15732224" id="docshape22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Serves as environmental and land use legal counsel to a national retailer for the acquisition, </w:t>
      </w:r>
      <w:r>
        <w:rPr>
          <w:color w:val="6E6158"/>
        </w:rPr>
        <w:t>entitlement,</w:t>
      </w:r>
      <w:r>
        <w:rPr>
          <w:color w:val="6E6158"/>
          <w:spacing w:val="40"/>
        </w:rPr>
        <w:t> </w:t>
      </w:r>
      <w:r>
        <w:rPr>
          <w:color w:val="6E6158"/>
        </w:rPr>
        <w:t>development, operations and/or expansion of over 200 stores and warehouse facilities throughout</w:t>
      </w:r>
      <w:r>
        <w:rPr>
          <w:color w:val="6E6158"/>
          <w:spacing w:val="40"/>
        </w:rPr>
        <w:t> </w:t>
      </w:r>
      <w:r>
        <w:rPr>
          <w:color w:val="6E6158"/>
        </w:rPr>
        <w:t>California, in addition to numerous other Fortune 500 companies.</w:t>
      </w:r>
    </w:p>
    <w:p>
      <w:pPr>
        <w:pStyle w:val="BodyText"/>
        <w:spacing w:line="292" w:lineRule="auto" w:before="118"/>
        <w:ind w:left="377" w:right="4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98084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72315pt;width:1.65pt;height:1.65pt;mso-position-horizontal-relative:page;mso-position-vertical-relative:paragraph;z-index:15732736" id="docshape23" coordorigin="975,154" coordsize="33,33" path="m996,187l987,187,983,185,977,179,975,175,975,166,977,162,983,156,987,154,996,154,1000,156,1006,162,1008,166,1008,171,1008,175,1006,179,1000,185,9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worked with the California Department of Toxic Substances Control to develop a response </w:t>
      </w:r>
      <w:r>
        <w:rPr>
          <w:color w:val="6E6158"/>
        </w:rPr>
        <w:t>plan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redevelopment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302-acre</w:t>
      </w:r>
      <w:r>
        <w:rPr>
          <w:color w:val="6E6158"/>
          <w:spacing w:val="31"/>
        </w:rPr>
        <w:t> </w:t>
      </w:r>
      <w:r>
        <w:rPr>
          <w:color w:val="6E6158"/>
        </w:rPr>
        <w:t>brownfield</w:t>
      </w:r>
      <w:r>
        <w:rPr>
          <w:color w:val="6E6158"/>
          <w:spacing w:val="31"/>
        </w:rPr>
        <w:t> </w:t>
      </w:r>
      <w:r>
        <w:rPr>
          <w:color w:val="6E6158"/>
        </w:rPr>
        <w:t>site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coordination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multiple</w:t>
      </w:r>
      <w:r>
        <w:rPr>
          <w:color w:val="6E6158"/>
          <w:spacing w:val="31"/>
        </w:rPr>
        <w:t> </w:t>
      </w:r>
      <w:r>
        <w:rPr>
          <w:color w:val="6E6158"/>
        </w:rPr>
        <w:t>agencies.</w:t>
      </w:r>
    </w:p>
    <w:p>
      <w:pPr>
        <w:pStyle w:val="BodyText"/>
        <w:spacing w:line="295" w:lineRule="auto" w:before="123"/>
        <w:ind w:left="377"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101436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7123pt;width:1.65pt;height:1.65pt;mso-position-horizontal-relative:page;mso-position-vertical-relative:paragraph;z-index:15733248" id="docshape24" coordorigin="975,160" coordsize="33,33" path="m996,192l987,192,983,191,977,184,975,181,975,172,977,168,983,161,987,160,996,160,1000,161,1006,168,1008,172,1008,176,1008,181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Proactively developed guidance and client compliance strategies related to recent regulations and</w:t>
      </w:r>
      <w:r>
        <w:rPr>
          <w:color w:val="6E6158"/>
          <w:spacing w:val="80"/>
        </w:rPr>
        <w:t> </w:t>
      </w:r>
      <w:r>
        <w:rPr>
          <w:color w:val="6E6158"/>
        </w:rPr>
        <w:t>legislation including: California’s Proposition 65 amendments; California Senate Bill 334 (2021) related to</w:t>
      </w:r>
      <w:r>
        <w:rPr>
          <w:color w:val="6E6158"/>
          <w:spacing w:val="80"/>
        </w:rPr>
        <w:t> </w:t>
      </w:r>
      <w:r>
        <w:rPr>
          <w:color w:val="6E6158"/>
        </w:rPr>
        <w:t>correctional facilities; Los Angeles County’s “Green Zones” Ordinance; South Coast Air Quality </w:t>
      </w:r>
      <w:r>
        <w:rPr>
          <w:color w:val="6E6158"/>
        </w:rPr>
        <w:t>Management</w:t>
      </w:r>
      <w:r>
        <w:rPr>
          <w:color w:val="6E6158"/>
          <w:spacing w:val="80"/>
        </w:rPr>
        <w:t> </w:t>
      </w:r>
      <w:r>
        <w:rPr>
          <w:color w:val="6E6158"/>
        </w:rPr>
        <w:t>District’s Rule 2305 (Warehouse Indirect Source Rule); and a variety of local ordinances including moratoria</w:t>
      </w:r>
      <w:r>
        <w:rPr>
          <w:color w:val="6E6158"/>
          <w:spacing w:val="80"/>
        </w:rPr>
        <w:t> </w:t>
      </w:r>
      <w:r>
        <w:rPr>
          <w:color w:val="6E6158"/>
        </w:rPr>
        <w:t>and “big box” ordinances.</w:t>
      </w:r>
    </w:p>
    <w:p>
      <w:pPr>
        <w:pStyle w:val="BodyText"/>
        <w:spacing w:line="292" w:lineRule="auto" w:before="130"/>
        <w:ind w:left="377"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105711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323734pt;width:1.65pt;height:1.65pt;mso-position-horizontal-relative:page;mso-position-vertical-relative:paragraph;z-index:15733760" id="docshape25" coordorigin="975,166" coordsize="33,33" path="m996,199l987,199,983,197,977,191,975,187,975,178,977,174,983,168,987,166,996,166,1000,168,1006,174,1008,178,1008,183,1008,187,1006,191,1000,197,996,1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a major beverage company with environmental due diligence for future manufacturing plant </w:t>
      </w:r>
      <w:r>
        <w:rPr>
          <w:color w:val="6E6158"/>
        </w:rPr>
        <w:t>sites</w:t>
      </w:r>
      <w:r>
        <w:rPr>
          <w:color w:val="6E6158"/>
          <w:spacing w:val="80"/>
        </w:rPr>
        <w:t> </w:t>
      </w:r>
      <w:r>
        <w:rPr>
          <w:color w:val="6E6158"/>
        </w:rPr>
        <w:t>and operational environmental compliance matters.</w:t>
      </w:r>
    </w:p>
    <w:p>
      <w:pPr>
        <w:pStyle w:val="Heading1"/>
        <w:spacing w:before="284"/>
        <w:ind w:left="55" w:right="9129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91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116631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3566pt;width:1.65pt;height:1.65pt;mso-position-horizontal-relative:page;mso-position-vertical-relative:paragraph;z-index:15734272" id="docshape26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tinscore@fennemorelaw.com" TargetMode="External"/><Relationship Id="rId11" Type="http://schemas.openxmlformats.org/officeDocument/2006/relationships/hyperlink" Target="https://www.fennemorelaw.com/focus-on-cultivating-a-reputation-of-excellence-be-the-most-prepared-person-in-the-room-and-witness-the-humanity-in-each-person-regardless-of-gende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2024-11-12T12:04:13Z</dcterms:created>
  <dcterms:modified xsi:type="dcterms:W3CDTF">2024-11-12T12:04:13Z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