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87864" y="763308"/>
                            <a:ext cx="20701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2" w:firstLine="572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WILLIAM C.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“DAVE”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DAVIS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86088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775.788.1177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02586" y="2500373"/>
                            <a:ext cx="14408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wdavis@fennemorelaw.com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36;top:-3887;width:326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2" w:firstLine="572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WILLIAM C.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“DAVE”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DAVIS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650;top:-1729;width:43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775.788.2270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775.788.1177</w:t>
                        </w:r>
                      </w:p>
                    </w:txbxContent>
                  </v:textbox>
                  <w10:wrap type="none"/>
                </v:shape>
                <v:shape style="position:absolute;left:7732;top:-1151;width:226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wdavis@fennemorelaw.com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2E6B"/>
        </w:rPr>
        <w:t>WILLIAM</w:t>
      </w:r>
      <w:r>
        <w:rPr>
          <w:color w:val="002E6B"/>
          <w:spacing w:val="7"/>
        </w:rPr>
        <w:t> </w:t>
      </w:r>
      <w:r>
        <w:rPr>
          <w:color w:val="002E6B"/>
        </w:rPr>
        <w:t>C.</w:t>
      </w:r>
      <w:r>
        <w:rPr>
          <w:color w:val="002E6B"/>
          <w:spacing w:val="8"/>
        </w:rPr>
        <w:t> </w:t>
      </w:r>
      <w:r>
        <w:rPr>
          <w:color w:val="002E6B"/>
        </w:rPr>
        <w:t>"DAVE"</w:t>
      </w:r>
      <w:r>
        <w:rPr>
          <w:color w:val="002E6B"/>
          <w:spacing w:val="8"/>
        </w:rPr>
        <w:t> </w:t>
      </w:r>
      <w:r>
        <w:rPr>
          <w:color w:val="002E6B"/>
        </w:rPr>
        <w:t>DAVIS</w:t>
      </w:r>
      <w:r>
        <w:rPr>
          <w:color w:val="002E6B"/>
          <w:spacing w:val="8"/>
        </w:rPr>
        <w:t> </w:t>
      </w:r>
      <w:r>
        <w:rPr>
          <w:color w:val="002E6B"/>
          <w:spacing w:val="-5"/>
        </w:rPr>
        <w:t>JR.</w:t>
      </w:r>
    </w:p>
    <w:p>
      <w:pPr>
        <w:pStyle w:val="BodyText"/>
        <w:spacing w:line="295" w:lineRule="auto" w:before="147"/>
        <w:ind w:left="124" w:right="343"/>
      </w:pPr>
      <w:r>
        <w:rPr>
          <w:color w:val="6E6158"/>
        </w:rPr>
        <w:t>Dave concentrates his practice in the area of commercial real estate, representing clients in all aspects, and</w:t>
      </w:r>
      <w:r>
        <w:rPr>
          <w:color w:val="6E6158"/>
          <w:spacing w:val="80"/>
        </w:rPr>
        <w:t> </w:t>
      </w:r>
      <w:r>
        <w:rPr>
          <w:color w:val="6E6158"/>
        </w:rPr>
        <w:t>renewable energy development and permitting. Representative clients include the </w:t>
      </w:r>
      <w:hyperlink r:id="rId11">
        <w:r>
          <w:rPr>
            <w:color w:val="F5821F"/>
          </w:rPr>
          <w:t>Juliet Companies, LLC</w:t>
        </w:r>
      </w:hyperlink>
      <w:r>
        <w:rPr>
          <w:color w:val="6E6158"/>
        </w:rPr>
        <w:t>,</w:t>
      </w:r>
      <w:r>
        <w:rPr>
          <w:color w:val="6E6158"/>
          <w:spacing w:val="80"/>
        </w:rPr>
        <w:t> </w:t>
      </w:r>
      <w:hyperlink r:id="rId12">
        <w:r>
          <w:rPr>
            <w:color w:val="F5821F"/>
          </w:rPr>
          <w:t>Terra-Gen Power, LLC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13">
        <w:r>
          <w:rPr>
            <w:color w:val="F5821F"/>
          </w:rPr>
          <w:t>Invenergy</w:t>
        </w:r>
      </w:hyperlink>
      <w:r>
        <w:rPr>
          <w:color w:val="6E6158"/>
        </w:rPr>
        <w:t>. Dave served for many years as general outside real estate counsel for a</w:t>
      </w:r>
      <w:r>
        <w:rPr>
          <w:color w:val="6E6158"/>
          <w:spacing w:val="40"/>
        </w:rPr>
        <w:t> </w:t>
      </w:r>
      <w:r>
        <w:rPr>
          <w:color w:val="6E6158"/>
        </w:rPr>
        <w:t>publicly traded real estate investment trust in five Western states.</w:t>
      </w:r>
    </w:p>
    <w:p>
      <w:pPr>
        <w:pStyle w:val="BodyText"/>
        <w:spacing w:line="302" w:lineRule="auto" w:before="196"/>
        <w:ind w:left="124" w:right="343"/>
      </w:pPr>
      <w:r>
        <w:rPr>
          <w:color w:val="6E6158"/>
        </w:rPr>
        <w:t>He enjoys finding practical and effective solutions to clients’ problems. When not working, Dave enjoys fishing</w:t>
      </w:r>
      <w:r>
        <w:rPr>
          <w:color w:val="6E6158"/>
          <w:spacing w:val="80"/>
        </w:rPr>
        <w:t> </w:t>
      </w:r>
      <w:r>
        <w:rPr>
          <w:color w:val="6E6158"/>
        </w:rPr>
        <w:t>and hiking in the Sierra.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7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116698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8869pt;width:1.65pt;height:1.65pt;mso-position-horizontal-relative:page;mso-position-vertical-relative:paragraph;z-index:15729152" id="docshape11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Georgia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132357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21876pt;width:1.65pt;height:1.65pt;mso-position-horizontal-relative:page;mso-position-vertical-relative:paragraph;z-index:15729664" id="docshape12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M.Ed.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Georgia</w:t>
      </w:r>
    </w:p>
    <w:p>
      <w:pPr>
        <w:pStyle w:val="BodyText"/>
        <w:spacing w:before="18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138744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4795pt;width:1.65pt;height:1.65pt;mso-position-horizontal-relative:page;mso-position-vertical-relative:paragraph;z-index:15730176" id="docshape13" coordorigin="975,218" coordsize="33,33" path="m996,251l987,251,983,249,977,243,975,239,975,230,977,226,983,220,987,218,996,218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A.B.</w:t>
      </w:r>
      <w:r>
        <w:rPr>
          <w:color w:val="6E6158"/>
          <w:spacing w:val="11"/>
        </w:rPr>
        <w:t> </w:t>
      </w:r>
      <w:r>
        <w:rPr>
          <w:color w:val="6E6158"/>
        </w:rPr>
        <w:t>Georgia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7" w:lineRule="auto"/>
        <w:ind w:left="377" w:right="5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23417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43903pt;width:1.65pt;height:1.65pt;mso-position-horizontal-relative:page;mso-position-vertical-relative:paragraph;z-index:15730688" id="docshape14" coordorigin="975,37" coordsize="33,33" path="m996,69l987,69,983,68,977,61,975,58,975,49,977,45,983,38,987,37,996,37,1000,38,1006,45,1008,49,1008,53,1008,58,1006,61,1000,68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286950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94528pt;width:1.65pt;height:1.65pt;mso-position-horizontal-relative:page;mso-position-vertical-relative:paragraph;z-index:15731200" id="docshape15" coordorigin="975,452" coordsize="33,33" path="m996,484l987,484,983,483,977,476,975,473,975,464,977,460,983,453,987,452,996,452,1000,453,1006,460,1008,464,1008,468,1008,473,1006,476,1000,483,996,4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/>
        <w:ind w:left="377" w:right="6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18700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72447pt;width:1.65pt;height:1.65pt;mso-position-horizontal-relative:page;mso-position-vertical-relative:paragraph;z-index:15731712" id="docshape16" coordorigin="975,29" coordsize="33,33" path="m996,62l987,62,983,60,977,54,975,50,975,41,977,37,983,31,987,29,996,29,1000,31,1006,37,1008,41,1008,46,1008,50,1006,54,1000,60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277065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816196pt;width:1.65pt;height:1.65pt;mso-position-horizontal-relative:page;mso-position-vertical-relative:paragraph;z-index:15732224" id="docshape17" coordorigin="975,436" coordsize="33,33" path="m996,469l987,469,983,467,977,461,975,457,975,448,977,444,983,438,987,436,996,436,1000,438,1006,444,1008,448,1008,453,1008,457,1006,461,1000,467,9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Development and </w:t>
      </w:r>
      <w:r>
        <w:rPr>
          <w:color w:val="6E6158"/>
        </w:rPr>
        <w:t>Financing Real Estate Litigation</w:t>
      </w:r>
    </w:p>
    <w:p>
      <w:pPr>
        <w:pStyle w:val="BodyText"/>
        <w:spacing w:line="427" w:lineRule="auto"/>
        <w:ind w:left="377" w:right="68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17690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392977pt;width:1.65pt;height:1.65pt;mso-position-horizontal-relative:page;mso-position-vertical-relative:paragraph;z-index:15732736" id="docshape18" coordorigin="975,28" coordsize="33,33" path="m996,60l987,60,983,59,977,52,975,49,975,40,977,36,983,29,987,28,996,28,1000,29,1006,36,1008,40,1008,44,1008,49,1006,52,1000,59,996,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281223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43602pt;width:1.65pt;height:1.65pt;mso-position-horizontal-relative:page;mso-position-vertical-relative:paragraph;z-index:15733248" id="docshape19" coordorigin="975,443" coordsize="33,33" path="m996,475l987,475,983,474,977,467,975,464,975,455,977,451,983,444,987,443,996,443,1000,444,1006,451,1008,455,1008,459,1008,464,1006,467,1000,474,996,4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Real Estate</w:t>
      </w:r>
    </w:p>
    <w:p>
      <w:pPr>
        <w:pStyle w:val="BodyText"/>
        <w:spacing w:line="420" w:lineRule="auto"/>
        <w:ind w:left="377" w:right="8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12973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021521pt;width:1.65pt;height:1.65pt;mso-position-horizontal-relative:page;mso-position-vertical-relative:paragraph;z-index:15733760" id="docshape20" coordorigin="975,20" coordsize="33,33" path="m996,53l987,53,983,51,977,45,975,41,975,32,977,28,983,22,987,20,996,20,1000,22,1006,28,1008,32,1008,37,1008,41,1006,45,1000,51,996,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271338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365271pt;width:1.65pt;height:1.65pt;mso-position-horizontal-relative:page;mso-position-vertical-relative:paragraph;z-index:15734272" id="docshape21" coordorigin="975,427" coordsize="33,33" path="m996,460l987,460,983,458,977,452,975,448,975,439,977,435,983,429,987,427,996,427,1000,429,1006,435,1008,439,1008,444,1008,448,1006,452,1000,458,996,4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Law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Heading1"/>
        <w:spacing w:before="15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spacing w:line="32" w:lineRule="exact"/>
        <w:ind w:left="255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8"/>
                                </a:moveTo>
                                <a:lnTo>
                                  <a:pt x="7480" y="20668"/>
                                </a:lnTo>
                                <a:lnTo>
                                  <a:pt x="5044" y="19659"/>
                                </a:lnTo>
                                <a:lnTo>
                                  <a:pt x="1008" y="15623"/>
                                </a:lnTo>
                                <a:lnTo>
                                  <a:pt x="0" y="13187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7"/>
                                </a:lnTo>
                                <a:lnTo>
                                  <a:pt x="19660" y="15623"/>
                                </a:lnTo>
                                <a:lnTo>
                                  <a:pt x="15624" y="19659"/>
                                </a:lnTo>
                                <a:lnTo>
                                  <a:pt x="13188" y="2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2" coordorigin="0,0" coordsize="33,33">
                <v:shape style="position:absolute;left:0;top:0;width:33;height:33" id="docshape2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619132</wp:posOffset>
                </wp:positionH>
                <wp:positionV relativeFrom="paragraph">
                  <wp:posOffset>83874</wp:posOffset>
                </wp:positionV>
                <wp:extent cx="20955" cy="2095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04297pt;width:1.65pt;height:1.65pt;mso-position-horizontal-relative:page;mso-position-vertical-relative:paragraph;z-index:-15721984;mso-wrap-distance-left:0;mso-wrap-distance-right:0" id="docshape24" coordorigin="975,132" coordsize="33,33" path="m996,165l987,165,983,163,977,157,975,153,975,144,977,140,983,134,987,132,996,132,1000,134,1006,140,1008,144,1008,148,1008,153,1006,157,1000,163,996,16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403" w:lineRule="auto" w:before="0"/>
        <w:ind w:left="377" w:right="2719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 of the Year, Construction Law, 2018 and 2024 </w: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Construction Law, Real Estate Law, 2008-2025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Business, 2013-2014</w:t>
      </w:r>
    </w:p>
    <w:p>
      <w:pPr>
        <w:spacing w:line="273" w:lineRule="exact" w:before="0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-558826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44.00211pt;width:1.65pt;height:1.65pt;mso-position-horizontal-relative:page;mso-position-vertical-relative:paragraph;z-index:15736320" id="docshape25" coordorigin="975,-880" coordsize="33,33" path="m996,-847l987,-847,983,-849,977,-855,975,-859,975,-868,977,-872,983,-878,987,-880,996,-880,1000,-878,1006,-872,1008,-868,1008,-864,1008,-859,1006,-855,1000,-849,996,-8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-279791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22.030861pt;width:1.65pt;height:1.65pt;mso-position-horizontal-relative:page;mso-position-vertical-relative:paragraph;z-index:15736832" id="docshape26" coordorigin="975,-441" coordsize="33,33" path="m996,-408l987,-408,983,-410,977,-416,975,-420,975,-429,977,-433,983,-439,987,-441,996,-441,1000,-439,1006,-433,1008,-429,1008,-424,1008,-420,1006,-416,1000,-410,996,-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-21426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1.687111pt;width:1.65pt;height:1.65pt;mso-position-horizontal-relative:page;mso-position-vertical-relative:paragraph;z-index:15737344" id="docshape27" coordorigin="975,-34" coordsize="33,33" path="m996,-1l987,-1,983,-3,977,-9,975,-13,975,-22,977,-26,983,-32,987,-34,996,-34,1000,-32,1006,-26,1008,-22,1008,-17,1008,-13,1006,-9,1000,-3,996,-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2014</w:t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619132</wp:posOffset>
                </wp:positionH>
                <wp:positionV relativeFrom="paragraph">
                  <wp:posOffset>83980</wp:posOffset>
                </wp:positionV>
                <wp:extent cx="20955" cy="2095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12642pt;width:1.65pt;height:1.65pt;mso-position-horizontal-relative:page;mso-position-vertical-relative:paragraph;z-index:-15721472;mso-wrap-distance-left:0;mso-wrap-distance-right:0" id="docshape28" coordorigin="975,132" coordsize="33,33" path="m996,165l987,165,983,163,977,157,975,153,975,144,977,140,983,134,987,132,996,132,1000,134,1006,140,1008,144,1008,149,1008,153,1006,157,1000,163,996,16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Nevada’s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Best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9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88920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001601pt;width:1.65pt;height:1.65pt;mso-position-horizontal-relative:page;mso-position-vertical-relative:paragraph;z-index:15737856" id="docshape29" coordorigin="975,140" coordsize="33,33" path="m996,173l987,173,983,171,977,165,975,161,975,152,977,148,983,142,987,140,996,140,1000,142,1006,148,1008,152,1008,156,1008,161,1006,165,1000,171,996,1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77" w:right="27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116419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902pt;width:1.65pt;height:1.65pt;mso-position-horizontal-relative:page;mso-position-vertical-relative:paragraph;z-index:15738368" id="docshape30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374785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10651pt;width:1.65pt;height:1.65pt;mso-position-horizontal-relative:page;mso-position-vertical-relative:paragraph;z-index:15738880" id="docshape31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CASA (Court Appointed Special Advocate) for displaced children, 2012-</w:t>
      </w:r>
      <w:r>
        <w:rPr>
          <w:color w:val="6E6158"/>
        </w:rPr>
        <w:t>present Member, American Bar Association</w:t>
      </w:r>
    </w:p>
    <w:p>
      <w:pPr>
        <w:pStyle w:val="BodyText"/>
        <w:spacing w:line="427" w:lineRule="auto"/>
        <w:ind w:left="377" w:right="68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22065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37432pt;width:1.65pt;height:1.65pt;mso-position-horizontal-relative:page;mso-position-vertical-relative:paragraph;z-index:15739392" id="docshape32" coordorigin="975,35" coordsize="33,33" path="m996,67l987,67,983,66,977,59,975,56,975,47,977,43,983,36,987,35,996,35,1000,36,1006,43,1008,47,1008,51,1008,56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285598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88056pt;width:1.65pt;height:1.65pt;mso-position-horizontal-relative:page;mso-position-vertical-relative:paragraph;z-index:15739904" id="docshape33" coordorigin="975,450" coordsize="33,33" path="m996,482l987,482,983,481,977,474,975,471,975,462,977,458,983,451,987,450,996,450,1000,451,1006,458,1008,462,1008,466,1008,471,1006,474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Nevada</w:t>
      </w:r>
      <w:r>
        <w:rPr>
          <w:color w:val="6E6158"/>
          <w:spacing w:val="40"/>
        </w:rPr>
        <w:t> </w:t>
      </w:r>
      <w:r>
        <w:rPr>
          <w:color w:val="6E6158"/>
        </w:rPr>
        <w:t>Member, Clark County Bar </w:t>
      </w:r>
      <w:r>
        <w:rPr>
          <w:color w:val="6E6158"/>
        </w:rPr>
        <w:t>Association</w:t>
      </w:r>
    </w:p>
    <w:p>
      <w:pPr>
        <w:pStyle w:val="BodyText"/>
        <w:spacing w:line="226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17347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365975pt;width:1.65pt;height:1.65pt;mso-position-horizontal-relative:page;mso-position-vertical-relative:paragraph;z-index:15740416" id="docshape34" coordorigin="975,27" coordsize="33,33" path="m996,60l987,60,983,58,977,52,975,48,975,39,977,35,983,29,987,27,996,27,1000,29,1006,35,1008,39,1008,44,1008,48,1006,52,1000,58,996,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116413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427pt;width:1.65pt;height:1.65pt;mso-position-horizontal-relative:page;mso-position-vertical-relative:paragraph;z-index:15740928" id="docshape35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2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wdavis@fennemorelaw.com" TargetMode="External"/><Relationship Id="rId11" Type="http://schemas.openxmlformats.org/officeDocument/2006/relationships/hyperlink" Target="https://www.julietcompanies.com/" TargetMode="External"/><Relationship Id="rId12" Type="http://schemas.openxmlformats.org/officeDocument/2006/relationships/hyperlink" Target="https://www.terra-gen.com/" TargetMode="External"/><Relationship Id="rId13" Type="http://schemas.openxmlformats.org/officeDocument/2006/relationships/hyperlink" Target="https://invenergyllc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2024-11-12T12:20:39Z</dcterms:created>
  <dcterms:modified xsi:type="dcterms:W3CDTF">2024-11-12T12:20:39Z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