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46131" y="763308"/>
                            <a:ext cx="12204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ARTHUR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K.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GRIFFIN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01581" y="2603719"/>
                            <a:ext cx="309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90519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34908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38263" y="2975766"/>
                            <a:ext cx="14357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agriffin@fennemorelaw.com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55;top:1762;width:192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ARTHUR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K.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GRIFFIN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303.813.3824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8272;top:4660;width:48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</w:p>
                    </w:txbxContent>
                  </v:textbox>
                  <w10:wrap type="none"/>
                </v:shape>
                <v:shape style="position:absolute;left:8955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85;top:5246;width:2261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agriffin@fennemorelaw.com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1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ARTHUR</w:t>
      </w:r>
      <w:r>
        <w:rPr>
          <w:color w:val="FF8100"/>
          <w:spacing w:val="6"/>
        </w:rPr>
        <w:t> </w:t>
      </w:r>
      <w:r>
        <w:rPr>
          <w:color w:val="FF8100"/>
        </w:rPr>
        <w:t>K.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GRIFFIN</w:t>
      </w:r>
    </w:p>
    <w:p>
      <w:pPr>
        <w:pStyle w:val="BodyText"/>
        <w:spacing w:before="147"/>
        <w:ind w:left="104"/>
      </w:pPr>
      <w:r>
        <w:rPr>
          <w:color w:val="6E6158"/>
        </w:rPr>
        <w:t>Art</w:t>
      </w:r>
      <w:r>
        <w:rPr>
          <w:color w:val="6E6158"/>
          <w:spacing w:val="13"/>
        </w:rPr>
        <w:t> </w:t>
      </w:r>
      <w:r>
        <w:rPr>
          <w:color w:val="6E6158"/>
        </w:rPr>
        <w:t>represents</w:t>
      </w:r>
      <w:r>
        <w:rPr>
          <w:color w:val="6E6158"/>
          <w:spacing w:val="14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acquisitions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dispositions,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development,</w:t>
      </w:r>
    </w:p>
    <w:p>
      <w:pPr>
        <w:pStyle w:val="BodyText"/>
        <w:spacing w:line="295" w:lineRule="auto" w:before="52"/>
        <w:ind w:left="104" w:right="248"/>
      </w:pPr>
      <w:r>
        <w:rPr>
          <w:color w:val="6E6158"/>
        </w:rPr>
        <w:t>lending, and land use matters, with extensive experience in each of the retail, industrial, office,</w:t>
      </w:r>
      <w:r>
        <w:rPr>
          <w:color w:val="6E6158"/>
          <w:spacing w:val="80"/>
        </w:rPr>
        <w:t> </w:t>
      </w:r>
      <w:r>
        <w:rPr>
          <w:color w:val="6E6158"/>
        </w:rPr>
        <w:t>and hospitality industries. Supplemented by his Master of Laws (LL.M.) in Taxation, Art’s real estate</w:t>
      </w:r>
      <w:r>
        <w:rPr>
          <w:color w:val="6E6158"/>
          <w:spacing w:val="40"/>
        </w:rPr>
        <w:t> </w:t>
      </w:r>
      <w:r>
        <w:rPr>
          <w:color w:val="6E6158"/>
        </w:rPr>
        <w:t>practice is enhanced by his corporate and tax background and he is adept at helping clients</w:t>
      </w:r>
      <w:r>
        <w:rPr>
          <w:color w:val="6E6158"/>
          <w:spacing w:val="40"/>
        </w:rPr>
        <w:t> </w:t>
      </w:r>
      <w:r>
        <w:rPr>
          <w:color w:val="6E6158"/>
        </w:rPr>
        <w:t>navigate complex regulatory matters.</w:t>
      </w:r>
    </w:p>
    <w:p>
      <w:pPr>
        <w:pStyle w:val="BodyText"/>
        <w:spacing w:line="292" w:lineRule="auto" w:before="197"/>
        <w:ind w:left="104" w:right="400"/>
      </w:pPr>
      <w:r>
        <w:rPr>
          <w:color w:val="6E6158"/>
        </w:rPr>
        <w:t>In addition to his real estate practice, Art advises alcohol manufacturers, distributors, </w:t>
      </w:r>
      <w:r>
        <w:rPr>
          <w:color w:val="6E6158"/>
        </w:rPr>
        <w:t>and retailers,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major</w:t>
      </w:r>
      <w:r>
        <w:rPr>
          <w:color w:val="6E6158"/>
          <w:spacing w:val="37"/>
        </w:rPr>
        <w:t> </w:t>
      </w:r>
      <w:r>
        <w:rPr>
          <w:color w:val="6E6158"/>
        </w:rPr>
        <w:t>casinos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nightclub</w:t>
      </w:r>
      <w:r>
        <w:rPr>
          <w:color w:val="6E6158"/>
          <w:spacing w:val="37"/>
        </w:rPr>
        <w:t> </w:t>
      </w:r>
      <w:r>
        <w:rPr>
          <w:color w:val="6E6158"/>
        </w:rPr>
        <w:t>operators,</w:t>
      </w:r>
      <w:r>
        <w:rPr>
          <w:color w:val="6E6158"/>
          <w:spacing w:val="37"/>
        </w:rPr>
        <w:t> </w:t>
      </w:r>
      <w:r>
        <w:rPr>
          <w:color w:val="6E6158"/>
        </w:rPr>
        <w:t>regarding</w:t>
      </w:r>
      <w:r>
        <w:rPr>
          <w:color w:val="6E6158"/>
          <w:spacing w:val="37"/>
        </w:rPr>
        <w:t> </w:t>
      </w:r>
      <w:r>
        <w:rPr>
          <w:color w:val="6E6158"/>
        </w:rPr>
        <w:t>federal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state</w:t>
      </w:r>
    </w:p>
    <w:p>
      <w:pPr>
        <w:pStyle w:val="BodyText"/>
        <w:spacing w:line="292" w:lineRule="auto" w:before="9"/>
        <w:ind w:left="104"/>
      </w:pPr>
      <w:r>
        <w:rPr>
          <w:color w:val="6E6158"/>
        </w:rPr>
        <w:t>regulatory alcohol laws and liquor licensing matters. Art has experience resolving licensing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 compliance matters with the Alcohol and Tobacco Tax and Trade Bureau, the</w:t>
      </w:r>
    </w:p>
    <w:p>
      <w:pPr>
        <w:pStyle w:val="BodyText"/>
        <w:spacing w:line="302" w:lineRule="auto" w:before="1"/>
        <w:ind w:left="104" w:right="248"/>
      </w:pPr>
      <w:r>
        <w:rPr>
          <w:color w:val="6E6158"/>
        </w:rPr>
        <w:t>Colorado Department of Revenue – Liquor and Tobacco Enforcement Division, and </w:t>
      </w:r>
      <w:r>
        <w:rPr>
          <w:color w:val="6E6158"/>
        </w:rPr>
        <w:t>various Colorado municipalities.</w:t>
      </w:r>
    </w:p>
    <w:p>
      <w:pPr>
        <w:pStyle w:val="BodyText"/>
        <w:spacing w:line="295" w:lineRule="auto" w:before="186"/>
        <w:ind w:left="104" w:right="248"/>
      </w:pPr>
      <w:r>
        <w:rPr>
          <w:color w:val="6E6158"/>
        </w:rPr>
        <w:t>Early in his career, Art served as general counsel to a Denver-based multi-faceted real estate company where he oversaw high volumes of brokerage transactions, leasing matters, and</w:t>
      </w:r>
      <w:r>
        <w:rPr>
          <w:color w:val="6E6158"/>
          <w:spacing w:val="40"/>
        </w:rPr>
        <w:t> </w:t>
      </w:r>
      <w:r>
        <w:rPr>
          <w:color w:val="6E6158"/>
        </w:rPr>
        <w:t>finance arrangements. Prior to that, he worked in the Denver office of a national firm, where he</w:t>
      </w:r>
      <w:r>
        <w:rPr>
          <w:color w:val="6E6158"/>
          <w:spacing w:val="40"/>
        </w:rPr>
        <w:t> </w:t>
      </w:r>
      <w:r>
        <w:rPr>
          <w:color w:val="6E6158"/>
        </w:rPr>
        <w:t>focused on complex real estate transactions, leasing, and lending matters.</w:t>
      </w:r>
    </w:p>
    <w:p>
      <w:pPr>
        <w:pStyle w:val="BodyText"/>
        <w:spacing w:line="292" w:lineRule="auto" w:before="197"/>
        <w:ind w:left="104"/>
      </w:pPr>
      <w:r>
        <w:rPr>
          <w:color w:val="6E6158"/>
        </w:rPr>
        <w:t>Outside of the office, Art enjoys spending time with his family skiing, fishing, and cooking. Art also</w:t>
      </w:r>
      <w:r>
        <w:rPr>
          <w:color w:val="6E6158"/>
          <w:spacing w:val="40"/>
        </w:rPr>
        <w:t> </w:t>
      </w:r>
      <w:r>
        <w:rPr>
          <w:color w:val="6E6158"/>
        </w:rPr>
        <w:t>enjoys</w:t>
      </w:r>
      <w:r>
        <w:rPr>
          <w:color w:val="6E6158"/>
          <w:spacing w:val="33"/>
        </w:rPr>
        <w:t> </w:t>
      </w:r>
      <w:r>
        <w:rPr>
          <w:color w:val="6E6158"/>
        </w:rPr>
        <w:t>recreational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competitive</w:t>
      </w:r>
      <w:r>
        <w:rPr>
          <w:color w:val="6E6158"/>
          <w:spacing w:val="33"/>
        </w:rPr>
        <w:t> </w:t>
      </w:r>
      <w:r>
        <w:rPr>
          <w:color w:val="6E6158"/>
        </w:rPr>
        <w:t>sailing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has</w:t>
      </w:r>
      <w:r>
        <w:rPr>
          <w:color w:val="6E6158"/>
          <w:spacing w:val="33"/>
        </w:rPr>
        <w:t> </w:t>
      </w:r>
      <w:r>
        <w:rPr>
          <w:color w:val="6E6158"/>
        </w:rPr>
        <w:t>sailed</w:t>
      </w:r>
      <w:r>
        <w:rPr>
          <w:color w:val="6E6158"/>
          <w:spacing w:val="33"/>
        </w:rPr>
        <w:t> </w:t>
      </w:r>
      <w:r>
        <w:rPr>
          <w:color w:val="6E6158"/>
        </w:rPr>
        <w:t>throughout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Gulf</w:t>
      </w:r>
      <w:r>
        <w:rPr>
          <w:color w:val="6E6158"/>
          <w:spacing w:val="33"/>
        </w:rPr>
        <w:t> </w:t>
      </w:r>
      <w:r>
        <w:rPr>
          <w:color w:val="6E6158"/>
        </w:rPr>
        <w:t>Coast,</w:t>
      </w:r>
    </w:p>
    <w:p>
      <w:pPr>
        <w:pStyle w:val="BodyText"/>
        <w:spacing w:before="1"/>
        <w:ind w:left="104"/>
      </w:pPr>
      <w:r>
        <w:rPr>
          <w:color w:val="6E6158"/>
        </w:rPr>
        <w:t>Caribbean,</w:t>
      </w:r>
      <w:r>
        <w:rPr>
          <w:color w:val="6E6158"/>
          <w:spacing w:val="15"/>
        </w:rPr>
        <w:t> </w:t>
      </w:r>
      <w:r>
        <w:rPr>
          <w:color w:val="6E6158"/>
        </w:rPr>
        <w:t>Pacific</w:t>
      </w:r>
      <w:r>
        <w:rPr>
          <w:color w:val="6E6158"/>
          <w:spacing w:val="15"/>
        </w:rPr>
        <w:t> </w:t>
      </w:r>
      <w:r>
        <w:rPr>
          <w:color w:val="6E6158"/>
        </w:rPr>
        <w:t>Coast,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Mountain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regions.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6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152769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056pt;width:1.65pt;height:1.65pt;mso-position-horizontal-relative:page;mso-position-vertical-relative:paragraph;z-index:15729152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2807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669500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6553pt;width:1.65pt;height:1.65pt;mso-position-horizontal-relative:page;mso-position-vertical-relative:paragraph;z-index:15730176" id="docshape16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LL.M, University of </w:t>
      </w:r>
      <w:r>
        <w:rPr>
          <w:color w:val="6E6158"/>
        </w:rPr>
        <w:t>Denver J.D., University of Denver B.A., Tulane University</w:t>
      </w:r>
    </w:p>
    <w:p>
      <w:pPr>
        <w:pStyle w:val="Heading1"/>
        <w:spacing w:before="16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70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1200" id="docshape1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06pt;width:1.65pt;height:1.65pt;mso-position-horizontal-relative:page;mso-position-vertical-relative:paragraph;z-index:15731712" id="docshape19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Advanced </w:t>
      </w:r>
      <w:r>
        <w:rPr>
          <w:color w:val="6E6158"/>
        </w:rPr>
        <w:t>Energy Tax Law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left="356" w:right="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152872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32pt;width:1.65pt;height:1.65pt;mso-position-horizontal-relative:page;mso-position-vertical-relative:paragraph;z-index:15732224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Extensive experience assisting clients with leasing matters at major retail shopping </w:t>
      </w:r>
      <w:r>
        <w:rPr>
          <w:color w:val="6E6158"/>
        </w:rPr>
        <w:t>centers throughout Colorado and at regional and local shopping centers nationwide, as well as</w:t>
      </w:r>
      <w:r>
        <w:rPr>
          <w:color w:val="6E6158"/>
          <w:spacing w:val="40"/>
        </w:rPr>
        <w:t> </w:t>
      </w:r>
      <w:r>
        <w:rPr>
          <w:color w:val="6E6158"/>
        </w:rPr>
        <w:t>industrial and office leasing in Colorado and other markets.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143364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8505pt;width:1.65pt;height:1.65pt;mso-position-horizontal-relative:page;mso-position-vertical-relative:paragraph;z-index:15732736" id="docshape21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Downtown</w:t>
      </w:r>
      <w:r>
        <w:rPr>
          <w:color w:val="6E6158"/>
          <w:spacing w:val="14"/>
        </w:rPr>
        <w:t> </w:t>
      </w:r>
      <w:r>
        <w:rPr>
          <w:color w:val="6E6158"/>
        </w:rPr>
        <w:t>Denver</w:t>
      </w:r>
      <w:r>
        <w:rPr>
          <w:color w:val="6E6158"/>
          <w:spacing w:val="14"/>
        </w:rPr>
        <w:t> </w:t>
      </w:r>
      <w:r>
        <w:rPr>
          <w:color w:val="6E6158"/>
        </w:rPr>
        <w:t>ground</w:t>
      </w:r>
      <w:r>
        <w:rPr>
          <w:color w:val="6E6158"/>
          <w:spacing w:val="14"/>
        </w:rPr>
        <w:t> </w:t>
      </w:r>
      <w:r>
        <w:rPr>
          <w:color w:val="6E6158"/>
        </w:rPr>
        <w:t>leasing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in-fill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projects.</w:t>
      </w:r>
    </w:p>
    <w:p>
      <w:pPr>
        <w:pStyle w:val="BodyText"/>
        <w:spacing w:line="292" w:lineRule="auto" w:before="174"/>
        <w:ind w:left="356"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169983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549pt;width:1.65pt;height:1.65pt;mso-position-horizontal-relative:page;mso-position-vertical-relative:paragraph;z-index:15733248" id="docshape2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client and its principals in the acquisition and financing of a major east coast casino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Atlantic</w:t>
      </w:r>
      <w:r>
        <w:rPr>
          <w:color w:val="6E6158"/>
          <w:spacing w:val="23"/>
        </w:rPr>
        <w:t> </w:t>
      </w:r>
      <w:r>
        <w:rPr>
          <w:color w:val="6E6158"/>
        </w:rPr>
        <w:t>City,</w:t>
      </w:r>
      <w:r>
        <w:rPr>
          <w:color w:val="6E6158"/>
          <w:spacing w:val="23"/>
        </w:rPr>
        <w:t> </w:t>
      </w:r>
      <w:r>
        <w:rPr>
          <w:color w:val="6E6158"/>
        </w:rPr>
        <w:t>New</w:t>
      </w:r>
      <w:r>
        <w:rPr>
          <w:color w:val="6E6158"/>
          <w:spacing w:val="23"/>
        </w:rPr>
        <w:t> </w:t>
      </w:r>
      <w:r>
        <w:rPr>
          <w:color w:val="6E6158"/>
        </w:rPr>
        <w:t>Jersey,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assumed</w:t>
      </w:r>
      <w:r>
        <w:rPr>
          <w:color w:val="6E6158"/>
          <w:spacing w:val="23"/>
        </w:rPr>
        <w:t> </w:t>
      </w:r>
      <w:r>
        <w:rPr>
          <w:color w:val="6E6158"/>
        </w:rPr>
        <w:t>lead</w:t>
      </w:r>
      <w:r>
        <w:rPr>
          <w:color w:val="6E6158"/>
          <w:spacing w:val="23"/>
        </w:rPr>
        <w:t> </w:t>
      </w:r>
      <w:r>
        <w:rPr>
          <w:color w:val="6E6158"/>
        </w:rPr>
        <w:t>role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leasing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licensing</w:t>
      </w:r>
      <w:r>
        <w:rPr>
          <w:color w:val="6E6158"/>
          <w:spacing w:val="23"/>
        </w:rPr>
        <w:t> </w:t>
      </w:r>
      <w:r>
        <w:rPr>
          <w:color w:val="6E6158"/>
        </w:rPr>
        <w:t>its</w:t>
      </w:r>
      <w:r>
        <w:rPr>
          <w:color w:val="6E6158"/>
          <w:spacing w:val="23"/>
        </w:rPr>
        <w:t> </w:t>
      </w:r>
      <w:r>
        <w:rPr>
          <w:color w:val="6E6158"/>
        </w:rPr>
        <w:t>six</w:t>
      </w:r>
      <w:r>
        <w:rPr>
          <w:color w:val="6E6158"/>
          <w:spacing w:val="23"/>
        </w:rPr>
        <w:t> </w:t>
      </w:r>
      <w:r>
        <w:rPr>
          <w:color w:val="6E6158"/>
        </w:rPr>
        <w:t>floors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</w:p>
    <w:p>
      <w:pPr>
        <w:pStyle w:val="BodyText"/>
        <w:spacing w:before="1"/>
        <w:ind w:left="356"/>
      </w:pPr>
      <w:r>
        <w:rPr>
          <w:color w:val="6E6158"/>
        </w:rPr>
        <w:t>retail,</w:t>
      </w:r>
      <w:r>
        <w:rPr>
          <w:color w:val="6E6158"/>
          <w:spacing w:val="16"/>
        </w:rPr>
        <w:t> </w:t>
      </w:r>
      <w:r>
        <w:rPr>
          <w:color w:val="6E6158"/>
        </w:rPr>
        <w:t>restaurant,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entertainment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venues.</w:t>
      </w:r>
    </w:p>
    <w:p>
      <w:pPr>
        <w:pStyle w:val="BodyText"/>
        <w:spacing w:line="295" w:lineRule="auto"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175238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317pt;width:1.65pt;height:1.65pt;mso-position-horizontal-relative:page;mso-position-vertical-relative:paragraph;z-index:15733760" id="docshape2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a major distillery start-up venture advising on all legal concerns, including federal and</w:t>
      </w:r>
      <w:r>
        <w:rPr>
          <w:color w:val="6E6158"/>
          <w:spacing w:val="40"/>
        </w:rPr>
        <w:t> </w:t>
      </w:r>
      <w:r>
        <w:rPr>
          <w:color w:val="6E6158"/>
        </w:rPr>
        <w:t>state licensing and resolution of real property matters, and provided regulatory guidance on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processing</w:t>
      </w:r>
      <w:r>
        <w:rPr>
          <w:color w:val="6E6158"/>
          <w:spacing w:val="40"/>
        </w:rPr>
        <w:t> </w:t>
      </w:r>
      <w:r>
        <w:rPr>
          <w:color w:val="6E6158"/>
        </w:rPr>
        <w:t>requirements,</w:t>
      </w:r>
      <w:r>
        <w:rPr>
          <w:color w:val="6E6158"/>
          <w:spacing w:val="40"/>
        </w:rPr>
        <w:t> </w:t>
      </w:r>
      <w:r>
        <w:rPr>
          <w:color w:val="6E6158"/>
        </w:rPr>
        <w:t>record</w:t>
      </w:r>
      <w:r>
        <w:rPr>
          <w:color w:val="6E6158"/>
          <w:spacing w:val="40"/>
        </w:rPr>
        <w:t> </w:t>
      </w:r>
      <w:r>
        <w:rPr>
          <w:color w:val="6E6158"/>
        </w:rPr>
        <w:t>keeping,</w:t>
      </w:r>
      <w:r>
        <w:rPr>
          <w:color w:val="6E6158"/>
          <w:spacing w:val="40"/>
        </w:rPr>
        <w:t> </w:t>
      </w:r>
      <w:r>
        <w:rPr>
          <w:color w:val="6E6158"/>
        </w:rPr>
        <w:t>taxation,</w:t>
      </w:r>
      <w:r>
        <w:rPr>
          <w:color w:val="6E6158"/>
          <w:spacing w:val="40"/>
        </w:rPr>
        <w:t> </w:t>
      </w:r>
      <w:r>
        <w:rPr>
          <w:color w:val="6E6158"/>
        </w:rPr>
        <w:t>“Tied</w:t>
      </w:r>
      <w:r>
        <w:rPr>
          <w:color w:val="6E6158"/>
          <w:spacing w:val="40"/>
        </w:rPr>
        <w:t> </w:t>
      </w:r>
      <w:r>
        <w:rPr>
          <w:color w:val="6E6158"/>
        </w:rPr>
        <w:t>House”</w:t>
      </w:r>
      <w:r>
        <w:rPr>
          <w:color w:val="6E6158"/>
          <w:spacing w:val="40"/>
        </w:rPr>
        <w:t> </w:t>
      </w:r>
      <w:r>
        <w:rPr>
          <w:color w:val="6E6158"/>
        </w:rPr>
        <w:t>and other trade practice/consumer protection provisions.</w:t>
      </w:r>
    </w:p>
    <w:p>
      <w:pPr>
        <w:pStyle w:val="BodyText"/>
        <w:spacing w:line="292" w:lineRule="auto" w:before="124"/>
        <w:ind w:left="356" w:right="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137974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105pt;width:1.65pt;height:1.65pt;mso-position-horizontal-relative:page;mso-position-vertical-relative:paragraph;z-index:15734272" id="docshape2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client with refinancing of mixed-use and office properties in downtown Denver, Colorado, which involved a $48,000,000 loan made by a life insurance company </w:t>
      </w:r>
      <w:r>
        <w:rPr>
          <w:color w:val="6E6158"/>
        </w:rPr>
        <w:t>lender.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137516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078pt;width:1.65pt;height:1.65pt;mso-position-horizontal-relative:page;mso-position-vertical-relative:paragraph;z-index:15734784" id="docshape2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client with acquisition and $60,000,000 financing of multifamily property in </w:t>
      </w:r>
      <w:r>
        <w:rPr>
          <w:color w:val="6E6158"/>
        </w:rPr>
        <w:t>Denver, </w:t>
      </w:r>
      <w:r>
        <w:rPr>
          <w:color w:val="6E6158"/>
          <w:spacing w:val="-2"/>
        </w:rPr>
        <w:t>Colorado.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131027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11pt;width:1.65pt;height:1.65pt;mso-position-horizontal-relative:page;mso-position-vertical-relative:paragraph;z-index:15735296" id="docshape2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acquisition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1"/>
        </w:rPr>
        <w:t> </w:t>
      </w:r>
      <w:r>
        <w:rPr>
          <w:color w:val="6E6158"/>
        </w:rPr>
        <w:t>hotel</w:t>
      </w:r>
      <w:r>
        <w:rPr>
          <w:color w:val="6E6158"/>
          <w:spacing w:val="11"/>
        </w:rPr>
        <w:t> </w:t>
      </w:r>
      <w:r>
        <w:rPr>
          <w:color w:val="6E6158"/>
        </w:rPr>
        <w:t>property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Kauai,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Hawaii.</w:t>
      </w:r>
    </w:p>
    <w:p>
      <w:pPr>
        <w:pStyle w:val="BodyText"/>
        <w:spacing w:line="292" w:lineRule="auto" w:before="173"/>
        <w:ind w:left="356" w:right="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169712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154pt;width:1.65pt;height:1.65pt;mso-position-horizontal-relative:page;mso-position-vertical-relative:paragraph;z-index:15735808" id="docshape2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a major health club client in its acquisition of a swim and tennis club in Manhattan</w:t>
      </w:r>
      <w:r>
        <w:rPr>
          <w:color w:val="6E6158"/>
          <w:spacing w:val="40"/>
        </w:rPr>
        <w:t> </w:t>
      </w:r>
      <w:r>
        <w:rPr>
          <w:color w:val="6E6158"/>
        </w:rPr>
        <w:t>Beach, California.</w:t>
      </w:r>
    </w:p>
    <w:p>
      <w:pPr>
        <w:pStyle w:val="BodyText"/>
        <w:spacing w:line="292" w:lineRule="auto" w:before="132"/>
        <w:ind w:left="356"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143306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4003pt;width:1.65pt;height:1.65pt;mso-position-horizontal-relative:page;mso-position-vertical-relative:paragraph;z-index:15736320" id="docshape28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client with acquisition and $29,000,000 financing of multifamily property in </w:t>
      </w:r>
      <w:r>
        <w:rPr>
          <w:color w:val="6E6158"/>
        </w:rPr>
        <w:t>Austin, </w:t>
      </w:r>
      <w:r>
        <w:rPr>
          <w:color w:val="6E6158"/>
          <w:spacing w:val="-2"/>
        </w:rPr>
        <w:t>Texas.</w:t>
      </w:r>
    </w:p>
    <w:p>
      <w:pPr>
        <w:pStyle w:val="BodyText"/>
        <w:spacing w:line="292" w:lineRule="auto" w:before="123"/>
        <w:ind w:left="356"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137769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976pt;width:1.65pt;height:1.65pt;mso-position-horizontal-relative:page;mso-position-vertical-relative:paragraph;z-index:15736832" id="docshape2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client with acquisition and financing of office property near 15th and Market Streets</w:t>
      </w:r>
      <w:r>
        <w:rPr>
          <w:color w:val="6E6158"/>
          <w:spacing w:val="80"/>
        </w:rPr>
        <w:t> </w:t>
      </w:r>
      <w:r>
        <w:rPr>
          <w:color w:val="6E6158"/>
        </w:rPr>
        <w:t>in Denver, Colorado.</w:t>
      </w:r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143114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825pt;width:1.65pt;height:1.65pt;mso-position-horizontal-relative:page;mso-position-vertical-relative:paragraph;z-index:15737344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client with acquisition and $81,000,000 financing of multifamily property in </w:t>
      </w:r>
      <w:r>
        <w:rPr>
          <w:color w:val="6E6158"/>
        </w:rPr>
        <w:t>Denver, </w:t>
      </w:r>
      <w:r>
        <w:rPr>
          <w:color w:val="6E6158"/>
          <w:spacing w:val="-2"/>
        </w:rPr>
        <w:t>Colorado.</w:t>
      </w:r>
    </w:p>
    <w:p>
      <w:pPr>
        <w:pStyle w:val="BodyText"/>
        <w:spacing w:line="302" w:lineRule="auto" w:before="123"/>
        <w:ind w:left="356"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137576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2798pt;width:1.65pt;height:1.65pt;mso-position-horizontal-relative:page;mso-position-vertical-relative:paragraph;z-index:15737856" id="docshape31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client with acquisition and $47,000,000 financing of multifamily property in </w:t>
      </w:r>
      <w:r>
        <w:rPr>
          <w:color w:val="6E6158"/>
        </w:rPr>
        <w:t>Long Beach, California.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131087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83pt;width:1.65pt;height:1.65pt;mso-position-horizontal-relative:page;mso-position-vertical-relative:paragraph;z-index:15738368" id="docshape3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a major golf course operator and investment company in its acquisition of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established golf courses.</w:t>
      </w:r>
    </w:p>
    <w:p>
      <w:pPr>
        <w:pStyle w:val="BodyText"/>
        <w:spacing w:line="302" w:lineRule="auto" w:before="123"/>
        <w:ind w:left="356" w:right="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137614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803pt;width:1.65pt;height:1.65pt;mso-position-horizontal-relative:page;mso-position-vertical-relative:paragraph;z-index:15738880" id="docshape3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pro bono client in the corporate consolidation of three non-profit </w:t>
      </w:r>
      <w:r>
        <w:rPr>
          <w:color w:val="6E6158"/>
        </w:rPr>
        <w:t>organizations focusing on at-risk and drug-endangered children.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152662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693pt;width:1.65pt;height:1.65pt;mso-position-horizontal-relative:page;mso-position-vertical-relative:paragraph;z-index:15739392" id="docshape3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8"/>
        </w:rPr>
        <w:t> </w:t>
      </w:r>
      <w:r>
        <w:rPr>
          <w:color w:val="6E6158"/>
        </w:rPr>
        <w:t>Lawyers®</w:t>
      </w:r>
      <w:r>
        <w:rPr>
          <w:color w:val="6E6158"/>
          <w:spacing w:val="9"/>
        </w:rPr>
        <w:t> </w:t>
      </w:r>
      <w:r>
        <w:rPr>
          <w:color w:val="6E6158"/>
        </w:rPr>
        <w:t>Ones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Watch: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</w:rPr>
        <w:t>2023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169757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737pt;width:1.65pt;height:1.65pt;mso-position-horizontal-relative:page;mso-position-vertical-relative:paragraph;z-index:15739904" id="docshape3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0"/>
        </w:rPr>
        <w:t> </w:t>
      </w:r>
      <w:r>
        <w:rPr>
          <w:color w:val="6E6158"/>
        </w:rPr>
        <w:t>Super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Rising</w:t>
      </w:r>
      <w:r>
        <w:rPr>
          <w:color w:val="6E6158"/>
          <w:spacing w:val="11"/>
        </w:rPr>
        <w:t> </w:t>
      </w:r>
      <w:r>
        <w:rPr>
          <w:color w:val="6E6158"/>
        </w:rPr>
        <w:t>Star: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Estate,</w:t>
      </w:r>
      <w:r>
        <w:rPr>
          <w:color w:val="6E6158"/>
          <w:spacing w:val="11"/>
        </w:rPr>
        <w:t> </w:t>
      </w:r>
      <w:r>
        <w:rPr>
          <w:color w:val="6E6158"/>
        </w:rPr>
        <w:t>2018,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416" id="docshape3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“Tax Cuts and Jobs Act: Critical Provisions Non-Tax Attorneys Need to Know,” Colorado Bar Association, December 5, 2018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0928" id="docshape3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“Taxation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Alcohol,”</w:t>
      </w:r>
      <w:r>
        <w:rPr>
          <w:color w:val="6E6158"/>
          <w:spacing w:val="9"/>
        </w:rPr>
        <w:t> </w:t>
      </w:r>
      <w:r>
        <w:rPr>
          <w:color w:val="6E6158"/>
        </w:rPr>
        <w:t>Colorado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left="356" w:righ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152437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949pt;width:1.65pt;height:1.65pt;mso-position-horizontal-relative:page;mso-position-vertical-relative:paragraph;z-index:15741440" id="docshape3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410803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699pt;width:1.65pt;height:1.65pt;mso-position-horizontal-relative:page;mso-position-vertical-relative:paragraph;z-index:15741952" id="docshape39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Former Council Member, Section of Taxation, 2015-</w:t>
      </w:r>
      <w:r>
        <w:rPr>
          <w:color w:val="6E6158"/>
        </w:rPr>
        <w:t>2018 Colorado Lawyers Committee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58718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3479pt;width:1.65pt;height:1.65pt;mso-position-horizontal-relative:page;mso-position-vertical-relative:paragraph;z-index:15742464" id="docshape4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8"/>
        </w:rPr>
        <w:t> </w:t>
      </w:r>
      <w:r>
        <w:rPr>
          <w:color w:val="6E6158"/>
        </w:rPr>
        <w:t>Children’s</w:t>
      </w:r>
      <w:r>
        <w:rPr>
          <w:color w:val="6E6158"/>
          <w:spacing w:val="19"/>
        </w:rPr>
        <w:t> </w:t>
      </w:r>
      <w:r>
        <w:rPr>
          <w:color w:val="6E6158"/>
        </w:rPr>
        <w:t>Foundation,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Legacy</w:t>
      </w:r>
    </w:p>
    <w:p>
      <w:pPr>
        <w:pStyle w:val="BodyText"/>
        <w:spacing w:line="420" w:lineRule="auto" w:before="182"/>
        <w:ind w:left="356" w:right="2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175334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866pt;width:1.65pt;height:1.65pt;mso-position-horizontal-relative:page;mso-position-vertical-relative:paragraph;z-index:15742976" id="docshape4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433700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616pt;width:1.65pt;height:1.65pt;mso-position-horizontal-relative:page;mso-position-vertical-relative:paragraph;z-index:15743488" id="docshape42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Tulane Alumni Association of Colorado, Former President, 2011 – </w:t>
      </w:r>
      <w:r>
        <w:rPr>
          <w:color w:val="6E6158"/>
        </w:rPr>
        <w:t>2017 Urban Land Institute</w:t>
      </w:r>
    </w:p>
    <w:p>
      <w:pPr>
        <w:pStyle w:val="Heading1"/>
        <w:spacing w:before="160"/>
        <w:ind w:left="63" w:right="7737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73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152682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255pt;width:1.65pt;height:1.65pt;mso-position-horizontal-relative:page;mso-position-vertical-relative:paragraph;z-index:15744000" id="docshape4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416215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881pt;width:1.65pt;height:1.65pt;mso-position-horizontal-relative:page;mso-position-vertical-relative:paragraph;z-index:15744512" id="docshape4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Wyoming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agriff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2024-12-04T08:26:42Z</dcterms:created>
  <dcterms:modified xsi:type="dcterms:W3CDTF">2024-12-04T08:26:42Z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