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22281" y="1369338"/>
                            <a:ext cx="18554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5470" h="320675">
                                <a:moveTo>
                                  <a:pt x="1855063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55063" y="320382"/>
                                </a:lnTo>
                                <a:lnTo>
                                  <a:pt x="1855063" y="315214"/>
                                </a:lnTo>
                                <a:close/>
                              </a:path>
                              <a:path w="1855470" h="320675">
                                <a:moveTo>
                                  <a:pt x="1855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55063" y="5168"/>
                                </a:lnTo>
                                <a:lnTo>
                                  <a:pt x="1855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620509" y="763308"/>
                            <a:ext cx="187134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CATHY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L.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REECE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Financial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Restructuring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53541" y="1859626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20509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04838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25749" y="2226505"/>
                            <a:ext cx="14611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creece@fennemorelaw.com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7045;top:2716;width:2922;height:505" id="docshape5" coordorigin="7046,2716" coordsize="2922,505" path="m9967,3213l7046,3213,7046,3221,9967,3221,9967,3213xm9967,2716l7046,2716,7046,2725,9967,2725,9967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42;top:1762;width:2947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CATHY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L.</w:t>
                        </w:r>
                        <w:r>
                          <w:rPr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REECE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Financial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Restructuring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488;width:63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42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602.916.5343</w:t>
                        </w:r>
                      </w:p>
                    </w:txbxContent>
                  </v:textbox>
                  <w10:wrap type="none"/>
                </v:shape>
                <v:shape style="position:absolute;left:8750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602.916.5543</w:t>
                        </w:r>
                      </w:p>
                    </w:txbxContent>
                  </v:textbox>
                  <w10:wrap type="none"/>
                </v:shape>
                <v:shape style="position:absolute;left:7366;top:4066;width:2301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creece@fennemorelaw.com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41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CATHY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L.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REECE</w:t>
      </w:r>
    </w:p>
    <w:p>
      <w:pPr>
        <w:pStyle w:val="BodyText"/>
        <w:spacing w:line="297" w:lineRule="auto" w:before="147"/>
        <w:ind w:left="104" w:right="408"/>
        <w:jc w:val="both"/>
      </w:pPr>
      <w:r>
        <w:rPr>
          <w:color w:val="6E6158"/>
        </w:rPr>
        <w:t>Cathy practices in the financial restructuring, bankruptcy and creditors’ rights practice </w:t>
      </w:r>
      <w:r>
        <w:rPr>
          <w:color w:val="6E6158"/>
        </w:rPr>
        <w:t>group. She has broad experience in every aspect of corporate workouts and bankruptcies, and also works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clients</w:t>
      </w:r>
      <w:r>
        <w:rPr>
          <w:color w:val="6E6158"/>
          <w:spacing w:val="40"/>
        </w:rPr>
        <w:t> </w:t>
      </w:r>
      <w:r>
        <w:rPr>
          <w:color w:val="6E6158"/>
        </w:rPr>
        <w:t>structuring</w:t>
      </w:r>
      <w:r>
        <w:rPr>
          <w:color w:val="6E6158"/>
          <w:spacing w:val="40"/>
        </w:rPr>
        <w:t> </w:t>
      </w:r>
      <w:r>
        <w:rPr>
          <w:color w:val="6E6158"/>
        </w:rPr>
        <w:t>complex</w:t>
      </w:r>
      <w:r>
        <w:rPr>
          <w:color w:val="6E6158"/>
          <w:spacing w:val="40"/>
        </w:rPr>
        <w:t> </w:t>
      </w:r>
      <w:r>
        <w:rPr>
          <w:color w:val="6E6158"/>
        </w:rPr>
        <w:t>transactions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purchasing</w:t>
      </w:r>
      <w:r>
        <w:rPr>
          <w:color w:val="6E6158"/>
          <w:spacing w:val="40"/>
        </w:rPr>
        <w:t> </w:t>
      </w:r>
      <w:r>
        <w:rPr>
          <w:color w:val="6E6158"/>
        </w:rPr>
        <w:t>distressed</w:t>
      </w:r>
      <w:r>
        <w:rPr>
          <w:color w:val="6E6158"/>
          <w:spacing w:val="40"/>
        </w:rPr>
        <w:t> </w:t>
      </w:r>
      <w:r>
        <w:rPr>
          <w:color w:val="6E6158"/>
        </w:rPr>
        <w:t>assets.</w:t>
      </w:r>
    </w:p>
    <w:p>
      <w:pPr>
        <w:pStyle w:val="BodyText"/>
        <w:spacing w:line="302" w:lineRule="auto" w:before="191"/>
        <w:ind w:left="104"/>
      </w:pPr>
      <w:r>
        <w:rPr>
          <w:color w:val="6E6158"/>
        </w:rPr>
        <w:t>Cathy has held a variety of leadership positions at state and national associations related to</w:t>
      </w:r>
      <w:r>
        <w:rPr>
          <w:color w:val="6E6158"/>
          <w:spacing w:val="40"/>
        </w:rPr>
        <w:t> </w:t>
      </w:r>
      <w:r>
        <w:rPr>
          <w:color w:val="6E6158"/>
        </w:rPr>
        <w:t>bankruptcy, commercial finance and corporate renewal.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spacing w:line="412" w:lineRule="auto" w:before="147"/>
        <w:ind w:left="356" w:right="264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152884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8148pt;width:1.65pt;height:1.65pt;mso-position-horizontal-relative:page;mso-position-vertical-relative:paragraph;z-index:15729152" id="docshape1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411250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1897pt;width:1.65pt;height:1.65pt;mso-position-horizontal-relative:page;mso-position-vertical-relative:paragraph;z-index:15729664" id="docshape12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669615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25647pt;width:1.65pt;height:1.65pt;mso-position-horizontal-relative:page;mso-position-vertical-relative:paragraph;z-index:15730176" id="docshape13" coordorigin="1675,1055" coordsize="33,33" path="m1696,1087l1687,1087,1683,1085,1676,1079,1675,1075,1675,1066,1676,1062,1683,1056,1687,1055,1696,1055,1699,1056,1706,1062,1707,1066,1707,1071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 Arizona State University, Sandra Day O?onnor College of </w:t>
      </w:r>
      <w:r>
        <w:rPr>
          <w:color w:val="6E6158"/>
          <w:sz w:val="19"/>
        </w:rPr>
        <w:t>Law</w:t>
      </w:r>
      <w:r>
        <w:rPr>
          <w:color w:val="6E6158"/>
          <w:sz w:val="19"/>
        </w:rPr>
        <w:t> Bachelor of Music, with high distinction University of Arizona Managing Editor, </w:t>
      </w:r>
      <w:r>
        <w:rPr>
          <w:i/>
          <w:color w:val="6E6158"/>
          <w:sz w:val="20"/>
        </w:rPr>
        <w:t>Arizona State University Law Journal, </w:t>
      </w:r>
      <w:r>
        <w:rPr>
          <w:color w:val="6E6158"/>
          <w:sz w:val="19"/>
        </w:rPr>
        <w:t>1979</w:t>
      </w:r>
    </w:p>
    <w:p>
      <w:pPr>
        <w:pStyle w:val="BodyText"/>
        <w:spacing w:line="292" w:lineRule="auto" w:before="6"/>
        <w:ind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63115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9689pt;width:1.65pt;height:1.65pt;mso-position-horizontal-relative:page;mso-position-vertical-relative:paragraph;z-index:15730688" id="docshape14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Judicial law clerk to the Honorable Sandra Day O’Connor at the Arizona Court of </w:t>
      </w:r>
      <w:r>
        <w:rPr>
          <w:color w:val="6E6158"/>
        </w:rPr>
        <w:t>Appeals,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1979</w:t>
      </w:r>
    </w:p>
    <w:p>
      <w:pPr>
        <w:pStyle w:val="Heading1"/>
        <w:spacing w:before="28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44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59391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6491pt;width:1.65pt;height:1.65pt;mso-position-horizontal-relative:page;mso-position-vertical-relative:paragraph;z-index:15731200" id="docshape15" coordorigin="1675,94" coordsize="33,33" path="m1696,126l1687,126,1683,124,1676,118,1675,114,1675,105,1676,101,1683,95,1687,94,1696,94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317757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20241pt;width:1.65pt;height:1.65pt;mso-position-horizontal-relative:page;mso-position-vertical-relative:paragraph;z-index:15731712" id="docshape16" coordorigin="1675,500" coordsize="33,33" path="m1696,533l1687,533,1683,531,1676,525,1675,521,1675,512,1676,508,1683,502,1687,500,1696,500,1699,502,1706,508,1707,512,1707,517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576122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363991pt;width:1.65pt;height:1.65pt;mso-position-horizontal-relative:page;mso-position-vertical-relative:paragraph;z-index:15732224" id="docshape17" coordorigin="1675,907" coordsize="33,33" path="m1696,940l1687,940,1683,938,1676,932,1675,928,1675,919,1676,915,1683,909,1687,907,1696,907,1699,909,1706,915,1707,919,1707,924,1707,928,1706,932,1699,938,1696,9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Aviation, Aerospace and Autonomous </w:t>
      </w:r>
      <w:r>
        <w:rPr>
          <w:color w:val="6E6158"/>
        </w:rPr>
        <w:t>Systems Commercial and Real Estate Finance Commercial Contingency Litigation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63044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4162pt;width:1.65pt;height:1.65pt;mso-position-horizontal-relative:page;mso-position-vertical-relative:paragraph;z-index:15732736" id="docshape18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173"/>
        <w:ind w:right="54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169674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0207pt;width:1.65pt;height:1.65pt;mso-position-horizontal-relative:page;mso-position-vertical-relative:paragraph;z-index:15733248" id="docshape19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428040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3957pt;width:1.65pt;height:1.65pt;mso-position-horizontal-relative:page;mso-position-vertical-relative:paragraph;z-index:15733760" id="docshape20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Finance and </w:t>
      </w:r>
      <w:r>
        <w:rPr>
          <w:color w:val="6E6158"/>
        </w:rPr>
        <w:t>Lending Financial Restructuring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58810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0737pt;width:1.65pt;height:1.65pt;mso-position-horizontal-relative:page;mso-position-vertical-relative:paragraph;z-index:15734272" id="docshape21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175426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124pt;width:1.65pt;height:1.65pt;mso-position-horizontal-relative:page;mso-position-vertical-relative:paragraph;z-index:15734784" id="docshape22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Blockchain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Cryptocurrency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5296" id="docshape2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Official Investors Committee in the bankruptcy of Mortgages Ltd., </w:t>
      </w:r>
      <w:r>
        <w:rPr>
          <w:color w:val="6E6158"/>
        </w:rPr>
        <w:t>which managed the $900 million loan portfolio involving over 1700 investors. The Committee</w:t>
      </w:r>
      <w:r>
        <w:rPr>
          <w:color w:val="6E6158"/>
          <w:spacing w:val="40"/>
        </w:rPr>
        <w:t> </w:t>
      </w:r>
      <w:r>
        <w:rPr>
          <w:color w:val="6E6158"/>
        </w:rPr>
        <w:t>successfully confirmed its own Plan of Reorganization. The firm currently represents ML</w:t>
      </w:r>
      <w:r>
        <w:rPr>
          <w:color w:val="6E6158"/>
          <w:spacing w:val="40"/>
        </w:rPr>
        <w:t> </w:t>
      </w:r>
      <w:r>
        <w:rPr>
          <w:color w:val="6E6158"/>
        </w:rPr>
        <w:t>Manager that manages and liquidates the loan portfolio under the Plan.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138035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923pt;width:1.65pt;height:1.65pt;mso-position-horizontal-relative:page;mso-position-vertical-relative:paragraph;z-index:15735808" id="docshape24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Textron Financial Corporation, the largest secured creditor, in the ILX Resorts bankruptcies and filed a Joint Plan of Reorganization with the Debtors.</w:t>
      </w:r>
    </w:p>
    <w:p>
      <w:pPr>
        <w:pStyle w:val="BodyText"/>
        <w:spacing w:line="292" w:lineRule="auto" w:before="131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142745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771pt;width:1.65pt;height:1.65pt;mso-position-horizontal-relative:page;mso-position-vertical-relative:paragraph;z-index:15736320" id="docshape25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City of Glendale, Arizona, the arena landlord concerning the </w:t>
      </w:r>
      <w:r>
        <w:rPr>
          <w:color w:val="6E6158"/>
        </w:rPr>
        <w:t>management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lease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arena,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bankruptcy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NHL</w:t>
      </w:r>
      <w:r>
        <w:rPr>
          <w:color w:val="6E6158"/>
          <w:spacing w:val="26"/>
        </w:rPr>
        <w:t> </w:t>
      </w:r>
      <w:r>
        <w:rPr>
          <w:color w:val="6E6158"/>
        </w:rPr>
        <w:t>Arizona</w:t>
      </w:r>
      <w:r>
        <w:rPr>
          <w:color w:val="6E6158"/>
          <w:spacing w:val="26"/>
        </w:rPr>
        <w:t> </w:t>
      </w:r>
      <w:r>
        <w:rPr>
          <w:color w:val="6E6158"/>
        </w:rPr>
        <w:t>Coyotes</w:t>
      </w:r>
      <w:r>
        <w:rPr>
          <w:color w:val="6E6158"/>
          <w:spacing w:val="26"/>
        </w:rPr>
        <w:t> </w:t>
      </w:r>
      <w:r>
        <w:rPr>
          <w:color w:val="6E6158"/>
        </w:rPr>
        <w:t>hockey</w:t>
      </w:r>
      <w:r>
        <w:rPr>
          <w:color w:val="6E6158"/>
          <w:spacing w:val="26"/>
        </w:rPr>
        <w:t> </w:t>
      </w:r>
      <w:r>
        <w:rPr>
          <w:color w:val="6E6158"/>
        </w:rPr>
        <w:t>team.</w:t>
      </w:r>
    </w:p>
    <w:p>
      <w:pPr>
        <w:pStyle w:val="BodyText"/>
        <w:spacing w:line="297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137842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3745pt;width:1.65pt;height:1.65pt;mso-position-horizontal-relative:page;mso-position-vertical-relative:paragraph;z-index:15736832" id="docshape2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38"/>
        </w:rPr>
        <w:t> </w:t>
      </w:r>
      <w:r>
        <w:rPr>
          <w:color w:val="6E6158"/>
        </w:rPr>
        <w:t>the</w:t>
      </w:r>
      <w:r>
        <w:rPr>
          <w:color w:val="6E6158"/>
          <w:spacing w:val="38"/>
        </w:rPr>
        <w:t> </w:t>
      </w:r>
      <w:r>
        <w:rPr>
          <w:color w:val="6E6158"/>
        </w:rPr>
        <w:t>Unsecured</w:t>
      </w:r>
      <w:r>
        <w:rPr>
          <w:color w:val="6E6158"/>
          <w:spacing w:val="38"/>
        </w:rPr>
        <w:t> </w:t>
      </w:r>
      <w:r>
        <w:rPr>
          <w:color w:val="6E6158"/>
        </w:rPr>
        <w:t>Creditors</w:t>
      </w:r>
      <w:r>
        <w:rPr>
          <w:color w:val="6E6158"/>
          <w:spacing w:val="38"/>
        </w:rPr>
        <w:t> </w:t>
      </w:r>
      <w:r>
        <w:rPr>
          <w:color w:val="6E6158"/>
        </w:rPr>
        <w:t>Committee</w:t>
      </w:r>
      <w:r>
        <w:rPr>
          <w:color w:val="6E6158"/>
          <w:spacing w:val="38"/>
        </w:rPr>
        <w:t> </w:t>
      </w:r>
      <w:r>
        <w:rPr>
          <w:color w:val="6E6158"/>
        </w:rPr>
        <w:t>in</w:t>
      </w:r>
      <w:r>
        <w:rPr>
          <w:color w:val="6E6158"/>
          <w:spacing w:val="38"/>
        </w:rPr>
        <w:t> </w:t>
      </w:r>
      <w:r>
        <w:rPr>
          <w:color w:val="6E6158"/>
        </w:rPr>
        <w:t>an</w:t>
      </w:r>
      <w:r>
        <w:rPr>
          <w:color w:val="6E6158"/>
          <w:spacing w:val="38"/>
        </w:rPr>
        <w:t> </w:t>
      </w:r>
      <w:r>
        <w:rPr>
          <w:color w:val="6E6158"/>
        </w:rPr>
        <w:t>alleged</w:t>
      </w:r>
      <w:r>
        <w:rPr>
          <w:color w:val="6E6158"/>
          <w:spacing w:val="38"/>
        </w:rPr>
        <w:t> </w:t>
      </w:r>
      <w:r>
        <w:rPr>
          <w:color w:val="6E6158"/>
        </w:rPr>
        <w:t>Ponzi</w:t>
      </w:r>
      <w:r>
        <w:rPr>
          <w:color w:val="6E6158"/>
          <w:spacing w:val="38"/>
        </w:rPr>
        <w:t> </w:t>
      </w:r>
      <w:r>
        <w:rPr>
          <w:color w:val="6E6158"/>
        </w:rPr>
        <w:t>scheme</w:t>
      </w:r>
      <w:r>
        <w:rPr>
          <w:color w:val="6E6158"/>
          <w:spacing w:val="38"/>
        </w:rPr>
        <w:t> </w:t>
      </w:r>
      <w:r>
        <w:rPr>
          <w:color w:val="6E6158"/>
        </w:rPr>
        <w:t>bankruptcy case and successfully obtained a consensual Plan of Reorganization appointing a </w:t>
      </w:r>
      <w:r>
        <w:rPr>
          <w:color w:val="6E6158"/>
        </w:rPr>
        <w:t>liquidating</w:t>
      </w:r>
      <w:r>
        <w:rPr>
          <w:color w:val="6E6158"/>
          <w:spacing w:val="40"/>
        </w:rPr>
        <w:t> </w:t>
      </w:r>
      <w:r>
        <w:rPr>
          <w:color w:val="6E6158"/>
        </w:rPr>
        <w:t>trustee after capturing several million dollars for the trust.</w:t>
      </w:r>
    </w:p>
    <w:p>
      <w:pPr>
        <w:pStyle w:val="BodyText"/>
        <w:spacing w:line="292" w:lineRule="auto" w:before="118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134698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06154pt;width:1.65pt;height:1.65pt;mso-position-horizontal-relative:page;mso-position-vertical-relative:paragraph;z-index:15737344" id="docshape27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Unsecured Creditors’ Committee in the Baptist Foundation of </w:t>
      </w:r>
      <w:r>
        <w:rPr>
          <w:color w:val="6E6158"/>
        </w:rPr>
        <w:t>Arizona bankruptcy cases with liabilities of $650 million and over 13,000 creditors.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138050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0128pt;width:1.65pt;height:1.65pt;mso-position-horizontal-relative:page;mso-position-vertical-relative:paragraph;z-index:15737856" id="docshape2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lead prepetition and postpetition lender of $220 million in the </w:t>
      </w:r>
      <w:r>
        <w:rPr>
          <w:color w:val="6E6158"/>
        </w:rPr>
        <w:t>MicroAge bankruptcy cases.</w:t>
      </w:r>
    </w:p>
    <w:p>
      <w:pPr>
        <w:pStyle w:val="BodyText"/>
        <w:spacing w:line="292" w:lineRule="auto" w:before="112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130926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916pt;width:1.65pt;height:1.65pt;mso-position-horizontal-relative:page;mso-position-vertical-relative:paragraph;z-index:15738368" id="docshape29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major prepetition and postpetition construction and acquisition </w:t>
      </w:r>
      <w:r>
        <w:rPr>
          <w:color w:val="6E6158"/>
        </w:rPr>
        <w:t>and development lender in the UDC Homes, Inc. bankruptcy.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143256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0008pt;width:1.65pt;height:1.65pt;mso-position-horizontal-relative:page;mso-position-vertical-relative:paragraph;z-index:15738880" id="docshape30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major gasoline trade creditor and chair of the unofficial reclamation creditors’</w:t>
      </w:r>
      <w:r>
        <w:rPr>
          <w:color w:val="6E6158"/>
          <w:spacing w:val="40"/>
        </w:rPr>
        <w:t> </w:t>
      </w:r>
      <w:r>
        <w:rPr>
          <w:color w:val="6E6158"/>
        </w:rPr>
        <w:t>committee in the consolidated Circle K bankruptcies.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137718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3982pt;width:1.65pt;height:1.65pt;mso-position-horizontal-relative:page;mso-position-vertical-relative:paragraph;z-index:15739392" id="docshape31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indenture</w:t>
      </w:r>
      <w:r>
        <w:rPr>
          <w:color w:val="6E6158"/>
          <w:spacing w:val="12"/>
        </w:rPr>
        <w:t> </w:t>
      </w:r>
      <w:r>
        <w:rPr>
          <w:color w:val="6E6158"/>
        </w:rPr>
        <w:t>trustee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several</w:t>
      </w:r>
      <w:r>
        <w:rPr>
          <w:color w:val="6E6158"/>
          <w:spacing w:val="12"/>
        </w:rPr>
        <w:t> </w:t>
      </w:r>
      <w:r>
        <w:rPr>
          <w:color w:val="6E6158"/>
        </w:rPr>
        <w:t>public</w:t>
      </w:r>
      <w:r>
        <w:rPr>
          <w:color w:val="6E6158"/>
          <w:spacing w:val="12"/>
        </w:rPr>
        <w:t> </w:t>
      </w:r>
      <w:r>
        <w:rPr>
          <w:color w:val="6E6158"/>
        </w:rPr>
        <w:t>bond</w:t>
      </w:r>
      <w:r>
        <w:rPr>
          <w:color w:val="6E6158"/>
          <w:spacing w:val="12"/>
        </w:rPr>
        <w:t> </w:t>
      </w:r>
      <w:r>
        <w:rPr>
          <w:color w:val="6E6158"/>
        </w:rPr>
        <w:t>issuances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an</w:t>
      </w:r>
      <w:r>
        <w:rPr>
          <w:color w:val="6E6158"/>
          <w:spacing w:val="12"/>
        </w:rPr>
        <w:t> </w:t>
      </w:r>
      <w:r>
        <w:rPr>
          <w:color w:val="6E6158"/>
        </w:rPr>
        <w:t>airline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bankruptcy.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170053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025pt;width:1.65pt;height:1.65pt;mso-position-horizontal-relative:page;mso-position-vertical-relative:paragraph;z-index:15739904" id="docshape32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major administrative and unsecured creditor in the consolidated </w:t>
      </w:r>
      <w:r>
        <w:rPr>
          <w:color w:val="6E6158"/>
        </w:rPr>
        <w:t>National Convenience Stores bankruptcy.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131179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9058pt;width:1.65pt;height:1.65pt;mso-position-horizontal-relative:page;mso-position-vertical-relative:paragraph;z-index:15740416" id="docshape33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prepetition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postpetition</w:t>
      </w:r>
      <w:r>
        <w:rPr>
          <w:color w:val="6E6158"/>
          <w:spacing w:val="13"/>
        </w:rPr>
        <w:t> </w:t>
      </w:r>
      <w:r>
        <w:rPr>
          <w:color w:val="6E6158"/>
        </w:rPr>
        <w:t>secured</w:t>
      </w:r>
      <w:r>
        <w:rPr>
          <w:color w:val="6E6158"/>
          <w:spacing w:val="13"/>
        </w:rPr>
        <w:t> </w:t>
      </w:r>
      <w:r>
        <w:rPr>
          <w:color w:val="6E6158"/>
        </w:rPr>
        <w:t>lender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Foster</w:t>
      </w:r>
      <w:r>
        <w:rPr>
          <w:color w:val="6E6158"/>
          <w:spacing w:val="13"/>
        </w:rPr>
        <w:t> </w:t>
      </w:r>
      <w:r>
        <w:rPr>
          <w:color w:val="6E6158"/>
        </w:rPr>
        <w:t>Grant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bankruptcy.</w:t>
      </w:r>
    </w:p>
    <w:p>
      <w:pPr>
        <w:pStyle w:val="BodyText"/>
        <w:spacing w:line="292" w:lineRule="auto" w:before="174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169863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5101pt;width:1.65pt;height:1.65pt;mso-position-horizontal-relative:page;mso-position-vertical-relative:paragraph;z-index:15740928" id="docshape34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indenture trustee of approximately $52 million of public bonds secured by a</w:t>
      </w:r>
      <w:r>
        <w:rPr>
          <w:color w:val="6E6158"/>
          <w:spacing w:val="40"/>
        </w:rPr>
        <w:t> </w:t>
      </w:r>
      <w:r>
        <w:rPr>
          <w:color w:val="6E6158"/>
        </w:rPr>
        <w:t>lien on 80,000 acres of land involving over 50 separate Sun Valley Parkway bankruptcies.</w:t>
      </w:r>
    </w:p>
    <w:p>
      <w:pPr>
        <w:pStyle w:val="BodyText"/>
        <w:spacing w:line="292" w:lineRule="auto" w:before="131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142823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595pt;width:1.65pt;height:1.65pt;mso-position-horizontal-relative:page;mso-position-vertical-relative:paragraph;z-index:15741440" id="docshape35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major prepetition and postpetition lender in the Copperstate </w:t>
      </w:r>
      <w:r>
        <w:rPr>
          <w:color w:val="6E6158"/>
        </w:rPr>
        <w:t>Metals </w:t>
      </w:r>
      <w:r>
        <w:rPr>
          <w:color w:val="6E6158"/>
          <w:spacing w:val="-2"/>
        </w:rPr>
        <w:t>bankruptcy.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137921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9923pt;width:1.65pt;height:1.65pt;mso-position-horizontal-relative:page;mso-position-vertical-relative:paragraph;z-index:15741952" id="docshape3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major</w:t>
      </w:r>
      <w:r>
        <w:rPr>
          <w:color w:val="6E6158"/>
          <w:spacing w:val="12"/>
        </w:rPr>
        <w:t> </w:t>
      </w:r>
      <w:r>
        <w:rPr>
          <w:color w:val="6E6158"/>
        </w:rPr>
        <w:t>asset</w:t>
      </w:r>
      <w:r>
        <w:rPr>
          <w:color w:val="6E6158"/>
          <w:spacing w:val="12"/>
        </w:rPr>
        <w:t> </w:t>
      </w:r>
      <w:r>
        <w:rPr>
          <w:color w:val="6E6158"/>
        </w:rPr>
        <w:t>based</w:t>
      </w:r>
      <w:r>
        <w:rPr>
          <w:color w:val="6E6158"/>
          <w:spacing w:val="11"/>
        </w:rPr>
        <w:t> </w:t>
      </w:r>
      <w:r>
        <w:rPr>
          <w:color w:val="6E6158"/>
        </w:rPr>
        <w:t>lender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Unitech</w:t>
      </w:r>
      <w:r>
        <w:rPr>
          <w:color w:val="6E6158"/>
          <w:spacing w:val="12"/>
        </w:rPr>
        <w:t> </w:t>
      </w:r>
      <w:r>
        <w:rPr>
          <w:color w:val="6E6158"/>
        </w:rPr>
        <w:t>Industries</w:t>
      </w:r>
      <w:r>
        <w:rPr>
          <w:color w:val="6E6158"/>
          <w:spacing w:val="11"/>
        </w:rPr>
        <w:t> </w:t>
      </w:r>
      <w:r>
        <w:rPr>
          <w:color w:val="6E6158"/>
        </w:rPr>
        <w:t>Inc.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bankruptcy.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170255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5968pt;width:1.65pt;height:1.65pt;mso-position-horizontal-relative:page;mso-position-vertical-relative:paragraph;z-index:15742464" id="docshape3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major petroleum marketer and distributor on environmental claims in </w:t>
      </w:r>
      <w:r>
        <w:rPr>
          <w:color w:val="6E6158"/>
        </w:rPr>
        <w:t>various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bankruptcies.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131381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4999pt;width:1.65pt;height:1.65pt;mso-position-horizontal-relative:page;mso-position-vertical-relative:paragraph;z-index:15742976" id="docshape38" coordorigin="1675,207" coordsize="33,33" path="m1696,239l1687,239,1683,238,1676,232,1675,228,1675,219,1676,215,1683,208,1687,207,1696,207,1699,208,1706,215,1707,219,1707,223,1707,228,1706,232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numerous secured lenders, landlords and unsecured creditors in </w:t>
      </w:r>
      <w:r>
        <w:rPr>
          <w:color w:val="6E6158"/>
        </w:rPr>
        <w:t>manufacturing,</w:t>
      </w:r>
      <w:r>
        <w:rPr>
          <w:color w:val="6E6158"/>
          <w:spacing w:val="40"/>
        </w:rPr>
        <w:t> </w:t>
      </w:r>
      <w:r>
        <w:rPr>
          <w:color w:val="6E6158"/>
        </w:rPr>
        <w:t>retail and real estate bankruptcies.</w:t>
      </w:r>
    </w:p>
    <w:p>
      <w:pPr>
        <w:pStyle w:val="BodyText"/>
        <w:spacing w:line="292" w:lineRule="auto" w:before="132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143076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847pt;width:1.65pt;height:1.65pt;mso-position-horizontal-relative:page;mso-position-vertical-relative:paragraph;z-index:15743488" id="docshape3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Chapter 11 Trustee in seven related health care bankruptcies, which operated</w:t>
      </w:r>
      <w:r>
        <w:rPr>
          <w:color w:val="6E6158"/>
          <w:spacing w:val="18"/>
        </w:rPr>
        <w:t> </w:t>
      </w:r>
      <w:r>
        <w:rPr>
          <w:color w:val="6E6158"/>
        </w:rPr>
        <w:t>several</w:t>
      </w:r>
      <w:r>
        <w:rPr>
          <w:color w:val="6E6158"/>
          <w:spacing w:val="18"/>
        </w:rPr>
        <w:t> </w:t>
      </w:r>
      <w:r>
        <w:rPr>
          <w:color w:val="6E6158"/>
        </w:rPr>
        <w:t>skilled</w:t>
      </w:r>
      <w:r>
        <w:rPr>
          <w:color w:val="6E6158"/>
          <w:spacing w:val="18"/>
        </w:rPr>
        <w:t> </w:t>
      </w:r>
      <w:r>
        <w:rPr>
          <w:color w:val="6E6158"/>
        </w:rPr>
        <w:t>care</w:t>
      </w:r>
      <w:r>
        <w:rPr>
          <w:color w:val="6E6158"/>
          <w:spacing w:val="18"/>
        </w:rPr>
        <w:t> </w:t>
      </w:r>
      <w:r>
        <w:rPr>
          <w:color w:val="6E6158"/>
        </w:rPr>
        <w:t>facilities,</w:t>
      </w:r>
      <w:r>
        <w:rPr>
          <w:color w:val="6E6158"/>
          <w:spacing w:val="18"/>
        </w:rPr>
        <w:t> </w:t>
      </w:r>
      <w:r>
        <w:rPr>
          <w:color w:val="6E6158"/>
        </w:rPr>
        <w:t>assisted</w:t>
      </w:r>
      <w:r>
        <w:rPr>
          <w:color w:val="6E6158"/>
          <w:spacing w:val="18"/>
        </w:rPr>
        <w:t> </w:t>
      </w:r>
      <w:r>
        <w:rPr>
          <w:color w:val="6E6158"/>
        </w:rPr>
        <w:t>living</w:t>
      </w:r>
      <w:r>
        <w:rPr>
          <w:color w:val="6E6158"/>
          <w:spacing w:val="18"/>
        </w:rPr>
        <w:t> </w:t>
      </w:r>
      <w:r>
        <w:rPr>
          <w:color w:val="6E6158"/>
        </w:rPr>
        <w:t>facilities,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independent</w:t>
      </w:r>
      <w:r>
        <w:rPr>
          <w:color w:val="6E6158"/>
          <w:spacing w:val="18"/>
        </w:rPr>
        <w:t> </w:t>
      </w:r>
      <w:r>
        <w:rPr>
          <w:color w:val="6E6158"/>
        </w:rPr>
        <w:t>facilities.</w:t>
      </w:r>
    </w:p>
    <w:p>
      <w:pPr>
        <w:pStyle w:val="BodyText"/>
        <w:spacing w:line="292" w:lineRule="auto" w:before="12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137538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9821pt;width:1.65pt;height:1.65pt;mso-position-horizontal-relative:page;mso-position-vertical-relative:paragraph;z-index:15744000" id="docshape40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Tucson Electric Power Company, in an involuntary proceeding which </w:t>
      </w:r>
      <w:r>
        <w:rPr>
          <w:color w:val="6E6158"/>
        </w:rPr>
        <w:t>was dismissed and in related state court litigation which was also dismissed.</w:t>
      </w:r>
    </w:p>
    <w:p>
      <w:pPr>
        <w:pStyle w:val="BodyText"/>
        <w:spacing w:line="292" w:lineRule="auto" w:before="131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142883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0669pt;width:1.65pt;height:1.65pt;mso-position-horizontal-relative:page;mso-position-vertical-relative:paragraph;z-index:15744512" id="docshape4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Famous Restaurants Inc. and its related entities which successfully confirmed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plan of reorganization.</w:t>
      </w:r>
    </w:p>
    <w:p>
      <w:pPr>
        <w:pStyle w:val="BodyText"/>
        <w:spacing w:line="297" w:lineRule="auto" w:before="124"/>
        <w:ind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137980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4642pt;width:1.65pt;height:1.65pt;mso-position-horizontal-relative:page;mso-position-vertical-relative:paragraph;z-index:15745024" id="docshape4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debtor before the United States Supreme Court in a 1992 landmark case</w:t>
      </w:r>
      <w:r>
        <w:rPr>
          <w:color w:val="6E6158"/>
          <w:spacing w:val="40"/>
        </w:rPr>
        <w:t> </w:t>
      </w:r>
      <w:r>
        <w:rPr>
          <w:color w:val="6E6158"/>
        </w:rPr>
        <w:t>involving the exemption or exclusion of an ERISA qualified pension plan from the </w:t>
      </w:r>
      <w:r>
        <w:rPr>
          <w:color w:val="6E6158"/>
        </w:rPr>
        <w:t>bankruptcy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estate.</w:t>
      </w:r>
    </w:p>
    <w:p>
      <w:pPr>
        <w:pStyle w:val="BodyText"/>
        <w:spacing w:after="0" w:line="297" w:lineRule="auto"/>
        <w:sectPr>
          <w:pgSz w:w="12240" w:h="15840"/>
          <w:pgMar w:top="50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152783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197pt;width:1.65pt;height:1.65pt;mso-position-horizontal-relative:page;mso-position-vertical-relative:paragraph;z-index:15745536" id="docshape4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25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Women in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Arizona,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2015-2017,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2024</w:t>
      </w:r>
    </w:p>
    <w:p>
      <w:pPr>
        <w:spacing w:line="297" w:lineRule="auto" w:before="164"/>
        <w:ind w:left="356" w:right="38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168305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2423pt;width:1.65pt;height:1.65pt;mso-position-horizontal-relative:page;mso-position-vertical-relative:paragraph;z-index:15746048" id="docshape44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Bankruptcy and Creditor Debtor Rights/Insolvency </w:t>
      </w:r>
      <w:r>
        <w:rPr>
          <w:color w:val="6E6158"/>
          <w:sz w:val="19"/>
        </w:rPr>
        <w:t>and Reorganization Law, 2009-2025</w:t>
      </w:r>
    </w:p>
    <w:p>
      <w:pPr>
        <w:spacing w:line="398" w:lineRule="auto" w:before="110"/>
        <w:ind w:left="356" w:right="303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133812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36416pt;width:1.65pt;height:1.65pt;mso-position-horizontal-relative:page;mso-position-vertical-relative:paragraph;z-index:15746560" id="docshape45" coordorigin="1675,211" coordsize="33,33" path="m1696,243l1687,243,1683,242,1676,235,1675,231,1675,223,1676,219,1683,212,1687,211,1696,211,1699,212,1706,219,1707,223,1707,227,1707,231,1706,235,1699,242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412847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507664pt;width:1.65pt;height:1.65pt;mso-position-horizontal-relative:page;mso-position-vertical-relative:paragraph;z-index:15747072" id="docshape46" coordorigin="1675,650" coordsize="33,33" path="m1696,683l1687,683,1683,681,1676,675,1675,671,1675,662,1676,658,1683,652,1687,650,1696,650,1699,652,1706,658,1707,662,1707,666,1707,671,1706,675,1699,681,1696,6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671212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851414pt;width:1.65pt;height:1.65pt;mso-position-horizontal-relative:page;mso-position-vertical-relative:paragraph;z-index:15747584" id="docshape47" coordorigin="1675,1057" coordsize="33,33" path="m1696,1090l1687,1090,1683,1088,1676,1082,1675,1078,1675,1069,1676,1065,1683,1059,1687,1057,1696,1057,1699,1059,1706,1065,1707,1069,1707,1073,1707,1078,1706,1082,1699,1088,1696,10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Litigation – Bankruptcy, 2011-2024 </w:t>
      </w:r>
      <w:r>
        <w:rPr>
          <w:i/>
          <w:color w:val="6E6158"/>
          <w:sz w:val="20"/>
        </w:rPr>
        <w:t>Top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100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Lawyers,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AZ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Magazine,</w:t>
      </w:r>
      <w:r>
        <w:rPr>
          <w:i/>
          <w:color w:val="6E6158"/>
          <w:spacing w:val="-13"/>
          <w:sz w:val="20"/>
        </w:rPr>
        <w:t> </w:t>
      </w:r>
      <w:r>
        <w:rPr>
          <w:color w:val="6E6158"/>
          <w:sz w:val="19"/>
        </w:rPr>
        <w:t>2016-2018,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z w:val="19"/>
        </w:rPr>
        <w:t>2023 </w:t>
      </w:r>
      <w:r>
        <w:rPr>
          <w:i/>
          <w:color w:val="6E6158"/>
          <w:sz w:val="20"/>
        </w:rPr>
        <w:t>Southwest 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Top 50 Arizona, 2015-2016</w:t>
      </w:r>
    </w:p>
    <w:p>
      <w:pPr>
        <w:pStyle w:val="BodyText"/>
        <w:spacing w:before="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72319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94479pt;width:1.65pt;height:1.65pt;mso-position-horizontal-relative:page;mso-position-vertical-relative:paragraph;z-index:15748096" id="docshape48" coordorigin="1675,114" coordsize="33,33" path="m1696,146l1687,146,1683,145,1676,138,1675,135,1675,126,1676,122,1683,115,1687,114,1696,114,1699,115,1706,122,1707,126,1707,130,1707,135,1706,138,1699,145,1696,1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</w:t>
      </w:r>
      <w:r>
        <w:rPr>
          <w:color w:val="6E6158"/>
          <w:spacing w:val="4"/>
        </w:rPr>
        <w:t> </w:t>
      </w:r>
      <w:r>
        <w:rPr>
          <w:color w:val="6E6158"/>
        </w:rPr>
        <w:t>Legal</w:t>
      </w:r>
      <w:r>
        <w:rPr>
          <w:color w:val="6E6158"/>
          <w:spacing w:val="4"/>
        </w:rPr>
        <w:t> </w:t>
      </w:r>
      <w:r>
        <w:rPr>
          <w:color w:val="6E6158"/>
        </w:rPr>
        <w:t>Advisor</w:t>
      </w:r>
      <w:r>
        <w:rPr>
          <w:color w:val="6E6158"/>
          <w:spacing w:val="4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</w:rPr>
        <w:t>the</w:t>
      </w:r>
      <w:r>
        <w:rPr>
          <w:color w:val="6E6158"/>
          <w:spacing w:val="4"/>
        </w:rPr>
        <w:t> </w:t>
      </w:r>
      <w:r>
        <w:rPr>
          <w:color w:val="6E6158"/>
        </w:rPr>
        <w:t>Year,</w:t>
      </w:r>
      <w:r>
        <w:rPr>
          <w:color w:val="6E6158"/>
          <w:spacing w:val="4"/>
        </w:rPr>
        <w:t> </w:t>
      </w:r>
      <w:r>
        <w:rPr>
          <w:color w:val="6E6158"/>
        </w:rPr>
        <w:t>M&amp;A</w:t>
      </w:r>
      <w:r>
        <w:rPr>
          <w:color w:val="6E6158"/>
          <w:spacing w:val="4"/>
        </w:rPr>
        <w:t> </w:t>
      </w:r>
      <w:r>
        <w:rPr>
          <w:color w:val="6E6158"/>
        </w:rPr>
        <w:t>Advisor,</w:t>
      </w:r>
      <w:r>
        <w:rPr>
          <w:color w:val="6E6158"/>
          <w:spacing w:val="4"/>
        </w:rPr>
        <w:t> </w:t>
      </w:r>
      <w:r>
        <w:rPr>
          <w:color w:val="6E6158"/>
          <w:spacing w:val="-4"/>
        </w:rPr>
        <w:t>2014</w:t>
      </w:r>
    </w:p>
    <w:p>
      <w:pPr>
        <w:spacing w:line="288" w:lineRule="auto"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170059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524pt;width:1.65pt;height:1.65pt;mso-position-horizontal-relative:page;mso-position-vertical-relative:paragraph;z-index:15748608" id="docshape49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Arizona’s Best Lawyers, </w:t>
      </w:r>
      <w:r>
        <w:rPr>
          <w:color w:val="6E6158"/>
          <w:sz w:val="19"/>
        </w:rPr>
        <w:t>Bankruptcy and Creditor Debtor Rights/Insolvency and </w:t>
      </w:r>
      <w:r>
        <w:rPr>
          <w:color w:val="6E6158"/>
          <w:sz w:val="19"/>
        </w:rPr>
        <w:t>Reorganization </w:t>
      </w:r>
      <w:r>
        <w:rPr>
          <w:color w:val="6E6158"/>
          <w:spacing w:val="-4"/>
          <w:sz w:val="19"/>
        </w:rPr>
        <w:t>Law</w:t>
      </w:r>
    </w:p>
    <w:p>
      <w:pPr>
        <w:spacing w:before="11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140776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84761pt;width:1.65pt;height:1.65pt;mso-position-horizontal-relative:page;mso-position-vertical-relative:paragraph;z-index:15749120" id="docshape50" coordorigin="1675,222" coordsize="33,33" path="m1696,254l1687,254,1683,253,1676,246,1675,242,1675,233,1676,230,1683,223,1687,222,1696,222,1699,223,1706,230,1707,233,1707,238,1707,242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Litigation,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Local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4"/>
          <w:sz w:val="19"/>
        </w:rPr>
        <w:t>Star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173667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4643pt;width:1.65pt;height:1.65pt;mso-position-horizontal-relative:page;mso-position-vertical-relative:paragraph;z-index:15749632" id="docshape51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Litigation,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250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2"/>
          <w:sz w:val="19"/>
        </w:rPr>
        <w:t>Litigation</w:t>
      </w:r>
    </w:p>
    <w:p>
      <w:pPr>
        <w:spacing w:line="408" w:lineRule="auto" w:before="164"/>
        <w:ind w:left="356" w:right="264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168372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7649pt;width:1.65pt;height:1.65pt;mso-position-horizontal-relative:page;mso-position-vertical-relative:paragraph;z-index:15750144" id="docshape52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447406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228897pt;width:1.65pt;height:1.65pt;mso-position-horizontal-relative:page;mso-position-vertical-relative:paragraph;z-index:15750656" id="docshape53" coordorigin="1675,705" coordsize="33,33" path="m1696,737l1687,737,1683,736,1676,729,1675,725,1675,716,1676,713,1683,706,1687,705,1696,705,1699,706,1706,713,1707,716,1707,721,1707,725,1706,729,1699,736,1696,7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Bankruptcy &amp; Creditor/Debtor </w:t>
      </w:r>
      <w:r>
        <w:rPr>
          <w:color w:val="6E6158"/>
          <w:sz w:val="19"/>
        </w:rPr>
        <w:t>Rights Fellow, American College of Commercial Finance Lawyers</w:t>
      </w:r>
    </w:p>
    <w:p>
      <w:pPr>
        <w:pStyle w:val="BodyText"/>
        <w:spacing w:before="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71715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646882pt;width:1.65pt;height:1.65pt;mso-position-horizontal-relative:page;mso-position-vertical-relative:paragraph;z-index:15751168" id="docshape54" coordorigin="1675,113" coordsize="33,33" path="m1696,145l1687,145,1683,144,1676,138,1675,134,1675,125,1676,121,1683,115,1687,113,1696,113,1699,115,1706,121,1707,125,1707,129,1707,134,1706,138,1699,144,1696,1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152554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182pt;width:1.65pt;height:1.65pt;mso-position-horizontal-relative:page;mso-position-vertical-relative:paragraph;z-index:15751680" id="docshape5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“Maximizing Deals through Third-Party Litigation Financing,” M&amp;A </w:t>
      </w:r>
      <w:r>
        <w:rPr>
          <w:color w:val="6E6158"/>
        </w:rPr>
        <w:t>Advisor, November 18, 2020</w:t>
      </w:r>
    </w:p>
    <w:p>
      <w:pPr>
        <w:pStyle w:val="BodyText"/>
        <w:spacing w:line="405" w:lineRule="auto" w:before="114"/>
        <w:ind w:right="1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138127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6156pt;width:1.65pt;height:1.65pt;mso-position-horizontal-relative:page;mso-position-vertical-relative:paragraph;z-index:15752192" id="docshape56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401660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678pt;width:1.65pt;height:1.65pt;mso-position-horizontal-relative:page;mso-position-vertical-relative:paragraph;z-index:15752704" id="docshape57" coordorigin="1675,633" coordsize="33,33" path="m1696,665l1687,665,1683,663,1676,657,1675,653,1675,644,1676,640,1683,634,1687,633,1696,633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“Road to Recovery: A Look Sector by Sector,” </w:t>
      </w:r>
      <w:r>
        <w:rPr>
          <w:i/>
          <w:color w:val="6E6158"/>
          <w:sz w:val="20"/>
        </w:rPr>
        <w:t>InBusiness, </w:t>
      </w:r>
      <w:r>
        <w:rPr>
          <w:color w:val="6E6158"/>
        </w:rPr>
        <w:t>August 2020 </w:t>
      </w:r>
      <w:hyperlink r:id="rId11">
        <w:r>
          <w:rPr>
            <w:color w:val="FF8100"/>
          </w:rPr>
          <w:t>Author, “Bankruptcy in a Distressed Post-COVID-19 World,”</w:t>
        </w:r>
      </w:hyperlink>
      <w:r>
        <w:rPr>
          <w:color w:val="FF8100"/>
        </w:rPr>
        <w:t> </w:t>
      </w:r>
      <w:hyperlink r:id="rId11">
        <w:r>
          <w:rPr>
            <w:i/>
            <w:color w:val="FF8100"/>
            <w:sz w:val="20"/>
          </w:rPr>
          <w:t>InBusiness</w:t>
        </w:r>
      </w:hyperlink>
      <w:hyperlink r:id="rId11">
        <w:r>
          <w:rPr>
            <w:color w:val="FF8100"/>
          </w:rPr>
          <w:t>, August </w:t>
        </w:r>
        <w:r>
          <w:rPr>
            <w:color w:val="FF8100"/>
          </w:rPr>
          <w:t>2020</w:t>
        </w:r>
      </w:hyperlink>
    </w:p>
    <w:p>
      <w:pPr>
        <w:pStyle w:val="BodyText"/>
        <w:spacing w:line="292" w:lineRule="auto" w:before="3"/>
        <w:ind w:right="1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61331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2922pt;width:1.65pt;height:1.65pt;mso-position-horizontal-relative:page;mso-position-vertical-relative:paragraph;z-index:15753216" id="docshape58" coordorigin="1675,97" coordsize="33,33" path="m1696,129l1687,129,1683,128,1676,121,1675,117,1675,108,1676,105,1683,98,1687,97,1696,97,1699,98,1706,105,1707,108,1707,113,1707,117,1706,121,1699,128,1696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“Corporate Governance During Financial Distress,” Women in the Boardroom, March 24, 2020</w:t>
      </w:r>
    </w:p>
    <w:p>
      <w:pPr>
        <w:pStyle w:val="BodyText"/>
        <w:spacing w:line="292" w:lineRule="auto" w:before="131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142875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0069pt;width:1.65pt;height:1.65pt;mso-position-horizontal-relative:page;mso-position-vertical-relative:paragraph;z-index:15753728" id="docshape5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“Real Estate in Bankruptcy,” Modern Real Estate Transactions, ALI CLE, February 6,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137973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4042pt;width:1.65pt;height:1.65pt;mso-position-horizontal-relative:page;mso-position-vertical-relative:paragraph;z-index:15754240" id="docshape6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“Third-Party Litigation Funding in Bankruptcy Cases: Recent Trends and Key Issues,” Strafford Publications, September 24, 2019</w:t>
      </w:r>
    </w:p>
    <w:p>
      <w:pPr>
        <w:pStyle w:val="BodyText"/>
        <w:spacing w:line="288" w:lineRule="auto" w:before="121"/>
        <w:ind w:right="1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142683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489pt;width:1.65pt;height:1.65pt;mso-position-horizontal-relative:page;mso-position-vertical-relative:paragraph;z-index:15754752" id="docshape61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“Tate’s Auto Group Toppled by Financial, Legal Troubles,” </w:t>
      </w:r>
      <w:r>
        <w:rPr>
          <w:i/>
          <w:color w:val="6E6158"/>
          <w:sz w:val="20"/>
        </w:rPr>
        <w:t>Automotive News</w:t>
      </w:r>
      <w:r>
        <w:rPr>
          <w:color w:val="6E6158"/>
        </w:rPr>
        <w:t>, May 6, </w:t>
      </w:r>
      <w:r>
        <w:rPr>
          <w:color w:val="6E6158"/>
          <w:spacing w:val="-4"/>
        </w:rPr>
        <w:t>2019</w:t>
      </w:r>
    </w:p>
    <w:p>
      <w:pPr>
        <w:pStyle w:val="BodyText"/>
        <w:spacing w:line="283" w:lineRule="auto" w:before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140704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79127pt;width:1.65pt;height:1.65pt;mso-position-horizontal-relative:page;mso-position-vertical-relative:paragraph;z-index:15755264" id="docshape62" coordorigin="1675,222" coordsize="33,33" path="m1696,254l1687,254,1683,253,1676,246,1675,242,1675,233,1676,230,1683,223,1687,222,1696,222,1699,223,1706,230,1707,233,1707,238,1707,242,1706,246,1699,253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Author, “The Changing Landscape of Commercial Real Estate: Repurposing Spaces in Retail,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Shopping Centers, Healthcare and Golf Courses,”</w:t>
        </w:r>
      </w:hyperlink>
      <w:r>
        <w:rPr>
          <w:color w:val="FF8100"/>
        </w:rPr>
        <w:t> </w:t>
      </w:r>
      <w:hyperlink r:id="rId12">
        <w:r>
          <w:rPr>
            <w:i/>
            <w:color w:val="FF8100"/>
            <w:sz w:val="20"/>
          </w:rPr>
          <w:t>Business Law Today,</w:t>
        </w:r>
      </w:hyperlink>
      <w:r>
        <w:rPr>
          <w:i/>
          <w:color w:val="FF8100"/>
          <w:sz w:val="20"/>
        </w:rPr>
        <w:t> </w:t>
      </w:r>
      <w:hyperlink r:id="rId12">
        <w:r>
          <w:rPr>
            <w:color w:val="FF8100"/>
          </w:rPr>
          <w:t>December 18, 2018</w:t>
        </w:r>
      </w:hyperlink>
    </w:p>
    <w:p>
      <w:pPr>
        <w:pStyle w:val="BodyText"/>
        <w:spacing w:before="12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145521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58408pt;width:1.65pt;height:1.65pt;mso-position-horizontal-relative:page;mso-position-vertical-relative:paragraph;z-index:15755776" id="docshape63" coordorigin="1675,229" coordsize="33,33" path="m1696,262l1687,262,1683,260,1676,254,1675,250,1675,241,1676,237,1683,231,1687,229,1696,229,1699,231,1706,237,1707,241,1707,245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2"/>
        </w:rPr>
        <w:t> </w:t>
      </w:r>
      <w:r>
        <w:rPr>
          <w:color w:val="6E6158"/>
        </w:rPr>
        <w:t>“Litigation</w:t>
      </w:r>
      <w:r>
        <w:rPr>
          <w:color w:val="6E6158"/>
          <w:spacing w:val="12"/>
        </w:rPr>
        <w:t> </w:t>
      </w:r>
      <w:r>
        <w:rPr>
          <w:color w:val="6E6158"/>
        </w:rPr>
        <w:t>Finance</w:t>
      </w:r>
      <w:r>
        <w:rPr>
          <w:color w:val="6E6158"/>
          <w:spacing w:val="12"/>
        </w:rPr>
        <w:t> </w:t>
      </w:r>
      <w:r>
        <w:rPr>
          <w:color w:val="6E6158"/>
        </w:rPr>
        <w:t>Experts</w:t>
      </w:r>
      <w:r>
        <w:rPr>
          <w:color w:val="6E6158"/>
          <w:spacing w:val="12"/>
        </w:rPr>
        <w:t> </w:t>
      </w:r>
      <w:r>
        <w:rPr>
          <w:color w:val="6E6158"/>
        </w:rPr>
        <w:t>Discuss</w:t>
      </w:r>
      <w:r>
        <w:rPr>
          <w:color w:val="6E6158"/>
          <w:spacing w:val="12"/>
        </w:rPr>
        <w:t> </w:t>
      </w:r>
      <w:r>
        <w:rPr>
          <w:color w:val="6E6158"/>
        </w:rPr>
        <w:t>Recent</w:t>
      </w:r>
      <w:r>
        <w:rPr>
          <w:color w:val="6E6158"/>
          <w:spacing w:val="12"/>
        </w:rPr>
        <w:t> </w:t>
      </w:r>
      <w:r>
        <w:rPr>
          <w:color w:val="6E6158"/>
        </w:rPr>
        <w:t>Industry</w:t>
      </w:r>
      <w:r>
        <w:rPr>
          <w:color w:val="6E6158"/>
          <w:spacing w:val="12"/>
        </w:rPr>
        <w:t> </w:t>
      </w:r>
      <w:r>
        <w:rPr>
          <w:color w:val="6E6158"/>
        </w:rPr>
        <w:t>Growth,”</w:t>
      </w:r>
      <w:r>
        <w:rPr>
          <w:color w:val="6E6158"/>
          <w:spacing w:val="12"/>
        </w:rPr>
        <w:t> </w:t>
      </w:r>
      <w:r>
        <w:rPr>
          <w:i/>
          <w:color w:val="6E6158"/>
          <w:sz w:val="20"/>
        </w:rPr>
        <w:t>Debwire</w:t>
      </w:r>
      <w:r>
        <w:rPr>
          <w:color w:val="6E6158"/>
        </w:rPr>
        <w:t>,</w:t>
      </w:r>
      <w:r>
        <w:rPr>
          <w:color w:val="6E6158"/>
          <w:spacing w:val="12"/>
        </w:rPr>
        <w:t> </w:t>
      </w:r>
      <w:r>
        <w:rPr>
          <w:color w:val="6E6158"/>
        </w:rPr>
        <w:t>October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168800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1415pt;width:1.65pt;height:1.65pt;mso-position-horizontal-relative:page;mso-position-vertical-relative:paragraph;z-index:15756288" id="docshape64" coordorigin="1675,266" coordsize="33,33" path="m1696,298l1687,298,1683,297,1676,290,1675,287,1675,278,1676,274,1683,267,1687,266,1696,266,1699,267,1706,274,1707,278,1707,282,1707,287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Changing Landscape of Commercial Real Estate—Retail, Shopping </w:t>
      </w:r>
      <w:r>
        <w:rPr>
          <w:color w:val="6E6158"/>
        </w:rPr>
        <w:t>Centers, Healthcare and Golf Courses—Repurposing the Space,” ABA Business Law Section Annual</w:t>
      </w:r>
      <w:r>
        <w:rPr>
          <w:color w:val="6E6158"/>
          <w:spacing w:val="40"/>
        </w:rPr>
        <w:t> </w:t>
      </w:r>
      <w:r>
        <w:rPr>
          <w:color w:val="6E6158"/>
        </w:rPr>
        <w:t>Meeting, September 13, 2018</w:t>
      </w:r>
    </w:p>
    <w:p>
      <w:pPr>
        <w:pStyle w:val="BodyText"/>
        <w:spacing w:line="292" w:lineRule="auto" w:before="132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143417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92687pt;width:1.65pt;height:1.65pt;mso-position-horizontal-relative:page;mso-position-vertical-relative:paragraph;z-index:15756800" id="docshape65" coordorigin="1675,226" coordsize="33,33" path="m1696,258l1687,258,1683,257,1676,250,1675,247,1675,238,1676,234,1683,227,1687,226,1696,226,1699,227,1706,234,1707,238,1707,242,1707,247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“Post-Confirmation Liquidating and Litigation Trusts,” 26th Annual </w:t>
      </w:r>
      <w:r>
        <w:rPr>
          <w:color w:val="6E6158"/>
        </w:rPr>
        <w:t>Southwest Bankruptcy Conference, September 7, 2018</w:t>
      </w:r>
    </w:p>
    <w:p>
      <w:pPr>
        <w:pStyle w:val="BodyText"/>
        <w:spacing w:line="292" w:lineRule="auto" w:before="123"/>
        <w:ind w:right="1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137879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6661pt;width:1.65pt;height:1.65pt;mso-position-horizontal-relative:page;mso-position-vertical-relative:paragraph;z-index:15757312" id="docshape6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“Liquidating Trusts in Bankruptcy: A Review of Current Issues,” The Knowledge </w:t>
      </w:r>
      <w:r>
        <w:rPr>
          <w:color w:val="6E6158"/>
        </w:rPr>
        <w:t>Group, July 12, 2018</w:t>
      </w:r>
    </w:p>
    <w:p>
      <w:pPr>
        <w:pStyle w:val="BodyText"/>
        <w:spacing w:after="0" w:line="292" w:lineRule="auto"/>
        <w:sectPr>
          <w:pgSz w:w="12240" w:h="15840"/>
          <w:pgMar w:top="580" w:bottom="280" w:left="1440" w:right="1440"/>
        </w:sectPr>
      </w:pPr>
    </w:p>
    <w:p>
      <w:pPr>
        <w:pStyle w:val="BodyText"/>
        <w:spacing w:line="283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57824" id="docshape6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“2017 TMA Small Company Turnaround Award Winner: Vermont Aerospace Once Again Takes Flight,” </w:t>
      </w:r>
      <w:r>
        <w:rPr>
          <w:i/>
          <w:color w:val="6E6158"/>
          <w:sz w:val="20"/>
        </w:rPr>
        <w:t>ABF Journal</w:t>
      </w:r>
      <w:r>
        <w:rPr>
          <w:color w:val="6E6158"/>
        </w:rPr>
        <w:t>, April 2018</w:t>
      </w:r>
    </w:p>
    <w:p>
      <w:pPr>
        <w:pStyle w:val="BodyText"/>
        <w:spacing w:line="292" w:lineRule="auto" w:before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145827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2492pt;width:1.65pt;height:1.65pt;mso-position-horizontal-relative:page;mso-position-vertical-relative:paragraph;z-index:15758336" id="docshape68" coordorigin="1675,230" coordsize="33,33" path="m1696,262l1687,262,1683,261,1676,254,1675,250,1675,241,1676,238,1683,231,1687,230,1696,230,1699,231,1706,238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“Third Party Financing of Litigation–Structure, Documentation And Outlook for </w:t>
      </w:r>
      <w:r>
        <w:rPr>
          <w:color w:val="6E6158"/>
        </w:rPr>
        <w:t>2018,” American Bar Association Business Law Spring Meeting, April 2018</w:t>
      </w:r>
    </w:p>
    <w:p>
      <w:pPr>
        <w:pStyle w:val="BodyText"/>
        <w:spacing w:line="288" w:lineRule="auto" w:before="113"/>
        <w:ind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137750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6466pt;width:1.65pt;height:1.65pt;mso-position-horizontal-relative:page;mso-position-vertical-relative:paragraph;z-index:15758848" id="docshape69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Author, “Mayday! Mayday! Mayday! Saving the Vermont Aerospace Company,”</w:t>
        </w:r>
      </w:hyperlink>
      <w:r>
        <w:rPr>
          <w:color w:val="FF8100"/>
        </w:rPr>
        <w:t> </w:t>
      </w:r>
      <w:hyperlink r:id="rId13">
        <w:r>
          <w:rPr>
            <w:i/>
            <w:color w:val="FF8100"/>
            <w:sz w:val="20"/>
          </w:rPr>
          <w:t>TMA,</w:t>
        </w:r>
      </w:hyperlink>
      <w:r>
        <w:rPr>
          <w:i/>
          <w:color w:val="FF8100"/>
          <w:sz w:val="20"/>
        </w:rPr>
        <w:t> </w:t>
      </w:r>
      <w:hyperlink r:id="rId13">
        <w:r>
          <w:rPr>
            <w:color w:val="FF8100"/>
          </w:rPr>
          <w:t>April</w:t>
        </w:r>
      </w:hyperlink>
      <w:r>
        <w:rPr>
          <w:color w:val="FF8100"/>
        </w:rPr>
        <w:t> </w:t>
      </w:r>
      <w:hyperlink r:id="rId13">
        <w:r>
          <w:rPr>
            <w:color w:val="FF8100"/>
            <w:spacing w:val="-4"/>
          </w:rPr>
          <w:t>2018</w:t>
        </w:r>
      </w:hyperlink>
    </w:p>
    <w:p>
      <w:pPr>
        <w:pStyle w:val="BodyText"/>
        <w:spacing w:line="292" w:lineRule="auto" w:before="136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146019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97578pt;width:1.65pt;height:1.65pt;mso-position-horizontal-relative:page;mso-position-vertical-relative:paragraph;z-index:15759360" id="docshape70" coordorigin="1675,230" coordsize="33,33" path="m1696,262l1687,262,1683,261,1676,255,1675,251,1675,242,1676,238,1683,232,1687,230,1696,230,1699,232,1706,238,1707,242,1707,246,1707,251,1706,255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“Faster, Higher Returns: With Ponzi Schemes, All That Glitters Is Not Gold,” </w:t>
      </w:r>
      <w:r>
        <w:rPr>
          <w:color w:val="6E6158"/>
        </w:rPr>
        <w:t>2018 Distressed Investing Summit, March 21, 2018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137941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1551pt;width:1.65pt;height:1.65pt;mso-position-horizontal-relative:page;mso-position-vertical-relative:paragraph;z-index:15759872" id="docshape71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Speaker,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“Litigation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Trusts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in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Business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Bankruptcies,”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Knowledge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Group,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March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5,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2018</w:t>
        </w:r>
      </w:hyperlink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170276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7595pt;width:1.65pt;height:1.65pt;mso-position-horizontal-relative:page;mso-position-vertical-relative:paragraph;z-index:15760384" id="docshape7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“Post-Confirmation Liquidation and Litigation Trusts in Business Bankruptices: What </w:t>
      </w:r>
      <w:r>
        <w:rPr>
          <w:color w:val="6E6158"/>
        </w:rPr>
        <w:t>Lies Ahead in 2018,” March 2, 2018</w:t>
      </w:r>
    </w:p>
    <w:p>
      <w:pPr>
        <w:pStyle w:val="Heading1"/>
        <w:spacing w:before="15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54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152899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36pt;width:1.65pt;height:1.65pt;mso-position-horizontal-relative:page;mso-position-vertical-relative:paragraph;z-index:15760896" id="docshape7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411265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311pt;width:1.65pt;height:1.65pt;mso-position-horizontal-relative:page;mso-position-vertical-relative:paragraph;z-index:15761408" id="docshape74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Arizona Member, Federal Bar </w:t>
      </w:r>
      <w:r>
        <w:rPr>
          <w:color w:val="6E6158"/>
        </w:rPr>
        <w:t>Association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63712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6766pt;width:1.65pt;height:1.65pt;mso-position-horizontal-relative:page;mso-position-vertical-relative:paragraph;z-index:15761920" id="docshape75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Regents,</w:t>
      </w:r>
      <w:r>
        <w:rPr>
          <w:color w:val="6E6158"/>
          <w:spacing w:val="11"/>
        </w:rPr>
        <w:t> </w:t>
      </w:r>
      <w:r>
        <w:rPr>
          <w:color w:val="6E6158"/>
        </w:rPr>
        <w:t>American</w:t>
      </w:r>
      <w:r>
        <w:rPr>
          <w:color w:val="6E6158"/>
          <w:spacing w:val="12"/>
        </w:rPr>
        <w:t> </w:t>
      </w:r>
      <w:r>
        <w:rPr>
          <w:color w:val="6E6158"/>
        </w:rPr>
        <w:t>College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Commercial</w:t>
      </w:r>
      <w:r>
        <w:rPr>
          <w:color w:val="6E6158"/>
          <w:spacing w:val="11"/>
        </w:rPr>
        <w:t> </w:t>
      </w:r>
      <w:r>
        <w:rPr>
          <w:color w:val="6E6158"/>
        </w:rPr>
        <w:t>Finance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Lawyers</w:t>
      </w:r>
    </w:p>
    <w:p>
      <w:pPr>
        <w:pStyle w:val="BodyText"/>
        <w:spacing w:line="29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169707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81pt;width:1.65pt;height:1.65pt;mso-position-horizontal-relative:page;mso-position-vertical-relative:paragraph;z-index:15762432" id="docshape7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Board of Trustees and Former Vice-President of Communications, Vice President of Conferences, and Vice President of Membership, International Turnaround Management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143688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14083pt;width:1.65pt;height:1.65pt;mso-position-horizontal-relative:page;mso-position-vertical-relative:paragraph;z-index:15762944" id="docshape77" coordorigin="1675,226" coordsize="33,33" path="m1696,259l1687,259,1683,257,1676,251,1675,247,1675,238,1676,234,1683,228,1687,226,1696,226,1699,228,1706,234,1707,238,1707,243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Bankruptcy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line="292" w:lineRule="auto" w:before="173"/>
        <w:ind w:right="3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169673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5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5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0126pt;width:1.65pt;height:1.65pt;mso-position-horizontal-relative:page;mso-position-vertical-relative:paragraph;z-index:15763456" id="docshape78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The American Law Institute, which drafts and sponsors the Restatements of the Law and the Uniform Commercial Code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138101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41pt;width:1.65pt;height:1.65pt;mso-position-horizontal-relative:page;mso-position-vertical-relative:paragraph;z-index:15763968" id="docshape7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Treasurer,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Commercial</w:t>
      </w:r>
      <w:r>
        <w:rPr>
          <w:color w:val="6E6158"/>
          <w:spacing w:val="11"/>
        </w:rPr>
        <w:t> </w:t>
      </w:r>
      <w:r>
        <w:rPr>
          <w:color w:val="6E6158"/>
        </w:rPr>
        <w:t>Finance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Lawyers</w:t>
      </w:r>
    </w:p>
    <w:p>
      <w:pPr>
        <w:pStyle w:val="BodyText"/>
        <w:spacing w:line="292" w:lineRule="auto" w:before="182"/>
        <w:ind w:right="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174968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702pt;width:1.65pt;height:1.65pt;mso-position-horizontal-relative:page;mso-position-vertical-relative:paragraph;z-index:15764480" id="docshape80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Immediate Past Chair, Loan Workout Subcommittee, American Bar Association, Business </w:t>
      </w:r>
      <w:r>
        <w:rPr>
          <w:color w:val="6E6158"/>
        </w:rPr>
        <w:t>Law </w:t>
      </w:r>
      <w:r>
        <w:rPr>
          <w:color w:val="6E6158"/>
          <w:spacing w:val="-2"/>
        </w:rPr>
        <w:t>Section</w:t>
      </w:r>
    </w:p>
    <w:p>
      <w:pPr>
        <w:pStyle w:val="BodyText"/>
        <w:spacing w:line="420" w:lineRule="auto" w:before="123"/>
        <w:ind w:right="21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137680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0993pt;width:1.65pt;height:1.65pt;mso-position-horizontal-relative:page;mso-position-vertical-relative:paragraph;z-index:15764992" id="docshape81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396046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184742pt;width:1.65pt;height:1.65pt;mso-position-horizontal-relative:page;mso-position-vertical-relative:paragraph;z-index:15765504" id="docshape82" coordorigin="1675,624" coordsize="33,33" path="m1696,656l1687,656,1683,655,1676,648,1675,644,1675,635,1676,632,1683,625,1687,624,1696,624,1699,625,1706,632,1707,635,1707,640,1707,644,1706,648,1699,655,1696,6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President, Arizona Chapter, Turnaround Management </w:t>
      </w:r>
      <w:r>
        <w:rPr>
          <w:color w:val="6E6158"/>
        </w:rPr>
        <w:t>Association Past Chair, Bankruptcy Section, State Bar of Arizona</w:t>
      </w:r>
    </w:p>
    <w:p>
      <w:pPr>
        <w:pStyle w:val="BodyText"/>
        <w:spacing w:line="420" w:lineRule="auto" w:before="7"/>
        <w:ind w:right="26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63733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8398pt;width:1.65pt;height:1.65pt;mso-position-horizontal-relative:page;mso-position-vertical-relative:paragraph;z-index:15766016" id="docshape83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322099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2148pt;width:1.65pt;height:1.65pt;mso-position-horizontal-relative:page;mso-position-vertical-relative:paragraph;z-index:15766528" id="docshape84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Chair, Local Bankruptcy Rules Committee, State Bar of </w:t>
      </w:r>
      <w:r>
        <w:rPr>
          <w:color w:val="6E6158"/>
        </w:rPr>
        <w:t>Arizona Former Lawyer Delegate to the Ninth Circuit Judicial Conference</w:t>
      </w:r>
    </w:p>
    <w:p>
      <w:pPr>
        <w:pStyle w:val="Heading1"/>
        <w:spacing w:before="159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152841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787pt;width:1.65pt;height:1.65pt;mso-position-horizontal-relative:page;mso-position-vertical-relative:paragraph;z-index:15767040" id="docshape85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175103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706pt;width:1.65pt;height:1.65pt;mso-position-horizontal-relative:page;mso-position-vertical-relative:paragraph;z-index:15767552" id="docshape86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169973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3751pt;width:1.65pt;height:1.65pt;mso-position-horizontal-relative:page;mso-position-vertical-relative:paragraph;z-index:15768064" id="docshape87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Certified,</w:t>
      </w:r>
      <w:r>
        <w:rPr>
          <w:color w:val="6E6158"/>
          <w:spacing w:val="14"/>
        </w:rPr>
        <w:t> </w:t>
      </w:r>
      <w:r>
        <w:rPr>
          <w:color w:val="6E6158"/>
        </w:rPr>
        <w:t>Business</w:t>
      </w:r>
      <w:r>
        <w:rPr>
          <w:color w:val="6E6158"/>
          <w:spacing w:val="13"/>
        </w:rPr>
        <w:t> </w:t>
      </w:r>
      <w:r>
        <w:rPr>
          <w:color w:val="6E6158"/>
        </w:rPr>
        <w:t>Bankruptcy</w:t>
      </w:r>
      <w:r>
        <w:rPr>
          <w:color w:val="6E6158"/>
          <w:spacing w:val="14"/>
        </w:rPr>
        <w:t> </w:t>
      </w:r>
      <w:r>
        <w:rPr>
          <w:color w:val="6E6158"/>
        </w:rPr>
        <w:t>Law,</w:t>
      </w:r>
      <w:r>
        <w:rPr>
          <w:color w:val="6E6158"/>
          <w:spacing w:val="13"/>
        </w:rPr>
        <w:t> </w: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Certification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financial-restructuring-bankruptcy-creditors-right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creece@fennemorelaw.com" TargetMode="External"/><Relationship Id="rId11" Type="http://schemas.openxmlformats.org/officeDocument/2006/relationships/hyperlink" Target="https://inbusinessphx.com/in-business/bankruptcy-in-a-distressed-post-covid-19-world#.XygY1ChKhhH" TargetMode="External"/><Relationship Id="rId12" Type="http://schemas.openxmlformats.org/officeDocument/2006/relationships/hyperlink" Target="https://businesslawtoday.org/2018/12/changing-landscape-commercial-real-estate-repurposing-spaces-retail-shopping-centers-healthcare-golf-courses/" TargetMode="External"/><Relationship Id="rId13" Type="http://schemas.openxmlformats.org/officeDocument/2006/relationships/hyperlink" Target="https://turnaround.org/jcr/2018/04/mayday-mayday-mayday-saving-vermont-aerospace-company" TargetMode="External"/><Relationship Id="rId14" Type="http://schemas.openxmlformats.org/officeDocument/2006/relationships/hyperlink" Target="https://www.youtube.com/watch?v=ZE8FRLL4KS0&amp;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2024-12-04T09:08:11Z</dcterms:created>
  <dcterms:modified xsi:type="dcterms:W3CDTF">2024-12-04T09:08:11Z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ConvertAPI</vt:lpwstr>
  </property>
</Properties>
</file>