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39115" y="763308"/>
                            <a:ext cx="1634489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COURTNEY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MCSHANE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41376" y="2500373"/>
                            <a:ext cx="163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cmcshane@fennemorelaw.com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29;top:1762;width:2574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COURTNEY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MCSHANE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303.813.3848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233;top:4497;width:256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cmcshane@fennemorelaw.com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COURTNEY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MCSHANE</w:t>
      </w:r>
    </w:p>
    <w:p>
      <w:pPr>
        <w:pStyle w:val="BodyText"/>
        <w:spacing w:line="295" w:lineRule="auto" w:before="146"/>
        <w:ind w:left="104" w:right="124"/>
      </w:pPr>
      <w:r>
        <w:rPr>
          <w:color w:val="6E6158"/>
        </w:rPr>
        <w:t>Courtney focuses on commercial real estate, handling office, retail, and industrial leasing</w:t>
      </w:r>
      <w:r>
        <w:rPr>
          <w:color w:val="6E6158"/>
          <w:spacing w:val="40"/>
        </w:rPr>
        <w:t> </w:t>
      </w:r>
      <w:r>
        <w:rPr>
          <w:color w:val="6E6158"/>
        </w:rPr>
        <w:t>matters for both landlords and tenants. Her vast experience includes drafting, reviewing, and</w:t>
      </w:r>
      <w:r>
        <w:rPr>
          <w:color w:val="6E6158"/>
          <w:spacing w:val="40"/>
        </w:rPr>
        <w:t> </w:t>
      </w:r>
      <w:r>
        <w:rPr>
          <w:color w:val="6E6158"/>
        </w:rPr>
        <w:t>negotiating leases, letters of intent (LOIs), amendments, and subleases, with an emphasis on</w:t>
      </w:r>
      <w:r>
        <w:rPr>
          <w:color w:val="6E6158"/>
          <w:spacing w:val="40"/>
        </w:rPr>
        <w:t> </w:t>
      </w:r>
      <w:r>
        <w:rPr>
          <w:color w:val="6E6158"/>
        </w:rPr>
        <w:t>office and retail leasing. In addition to her leasing work, Courtney also assists clients with</w:t>
      </w:r>
      <w:r>
        <w:rPr>
          <w:color w:val="6E6158"/>
          <w:spacing w:val="40"/>
        </w:rPr>
        <w:t> </w:t>
      </w:r>
      <w:r>
        <w:rPr>
          <w:color w:val="6E6158"/>
        </w:rPr>
        <w:t>acquisitions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dispositions,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preparation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negotiation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loan</w:t>
      </w:r>
      <w:r>
        <w:rPr>
          <w:color w:val="6E6158"/>
          <w:spacing w:val="37"/>
        </w:rPr>
        <w:t> </w:t>
      </w:r>
      <w:r>
        <w:rPr>
          <w:color w:val="6E6158"/>
        </w:rPr>
        <w:t>documents.</w:t>
      </w:r>
    </w:p>
    <w:p>
      <w:pPr>
        <w:pStyle w:val="BodyText"/>
        <w:spacing w:line="292" w:lineRule="auto" w:before="203"/>
        <w:ind w:left="104" w:right="22"/>
      </w:pPr>
      <w:r>
        <w:rPr>
          <w:color w:val="6E6158"/>
        </w:rPr>
        <w:t>Prior to joining Fennemore, Courtney was an associate at an Am Law 100 firm, where she</w:t>
      </w:r>
      <w:r>
        <w:rPr>
          <w:color w:val="6E6158"/>
          <w:spacing w:val="40"/>
        </w:rPr>
        <w:t> </w:t>
      </w:r>
      <w:r>
        <w:rPr>
          <w:color w:val="6E6158"/>
        </w:rPr>
        <w:t>focused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practice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leasing,</w:t>
      </w:r>
      <w:r>
        <w:rPr>
          <w:color w:val="6E6158"/>
          <w:spacing w:val="15"/>
        </w:rPr>
        <w:t> </w:t>
      </w:r>
      <w:r>
        <w:rPr>
          <w:color w:val="6E6158"/>
        </w:rPr>
        <w:t>purchase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sale,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finance.</w:t>
      </w:r>
    </w:p>
    <w:p>
      <w:pPr>
        <w:pStyle w:val="BodyText"/>
        <w:spacing w:before="197"/>
        <w:ind w:left="104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spare</w:t>
      </w:r>
      <w:r>
        <w:rPr>
          <w:color w:val="6E6158"/>
          <w:spacing w:val="12"/>
        </w:rPr>
        <w:t> </w:t>
      </w:r>
      <w:r>
        <w:rPr>
          <w:color w:val="6E6158"/>
        </w:rPr>
        <w:t>time,</w:t>
      </w:r>
      <w:r>
        <w:rPr>
          <w:color w:val="6E6158"/>
          <w:spacing w:val="11"/>
        </w:rPr>
        <w:t> </w:t>
      </w:r>
      <w:r>
        <w:rPr>
          <w:color w:val="6E6158"/>
        </w:rPr>
        <w:t>Courtney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cooking,</w:t>
      </w:r>
      <w:r>
        <w:rPr>
          <w:color w:val="6E6158"/>
          <w:spacing w:val="12"/>
        </w:rPr>
        <w:t> </w:t>
      </w:r>
      <w:r>
        <w:rPr>
          <w:color w:val="6E6158"/>
        </w:rPr>
        <w:t>reading,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spending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Shorkie,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King.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55"/>
        <w:ind w:left="853" w:right="5321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157845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802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338701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669426pt;width:1.65pt;height:1.65pt;mso-position-horizontal-relative:page;mso-position-vertical-relative:paragraph;z-index:15729664" id="docshape12" coordorigin="2171,533" coordsize="33,33" path="m2192,566l2183,566,2179,564,2173,558,2171,554,2171,545,2173,541,2179,535,2183,533,2192,533,2196,535,2202,541,2204,545,2204,550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Colorado</w:t>
      </w:r>
      <w:r>
        <w:rPr>
          <w:color w:val="6E6158"/>
          <w:spacing w:val="40"/>
        </w:rPr>
        <w:t> </w:t>
      </w:r>
      <w:r>
        <w:rPr>
          <w:color w:val="6E6158"/>
        </w:rPr>
        <w:t>Women’s Law Caucus </w:t>
      </w:r>
      <w:r>
        <w:rPr>
          <w:color w:val="6E6158"/>
        </w:rPr>
        <w:t>Mentor</w:t>
      </w:r>
    </w:p>
    <w:p>
      <w:pPr>
        <w:pStyle w:val="BodyText"/>
        <w:spacing w:before="12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137703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0.842775pt;width:1.65pt;height:1.65pt;mso-position-horizontal-relative:page;mso-position-vertical-relative:paragraph;z-index:15730176" id="docshape13" coordorigin="2171,217" coordsize="33,33" path="m2192,249l2183,249,2179,248,2173,241,2171,238,2171,229,2173,225,2179,218,2183,217,2192,217,2196,218,2202,225,2204,229,2204,233,2204,238,2202,241,2196,248,2192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Rothgerber</w:t>
      </w:r>
      <w:r>
        <w:rPr>
          <w:color w:val="6E6158"/>
          <w:spacing w:val="14"/>
        </w:rPr>
        <w:t> </w:t>
      </w:r>
      <w:r>
        <w:rPr>
          <w:color w:val="6E6158"/>
        </w:rPr>
        <w:t>Teaching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Fellow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170038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82pt;width:1.65pt;height:1.65pt;mso-position-horizontal-relative:page;mso-position-vertical-relative:paragraph;z-index:15730688" id="docshape1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6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97645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688614pt;width:1.65pt;height:1.65pt;mso-position-horizontal-relative:page;mso-position-vertical-relative:paragraph;z-index:15731200" id="docshape15" coordorigin="2171,154" coordsize="33,33" path="m2192,186l2183,186,2179,185,2173,178,2171,175,2171,166,2173,162,2179,155,2183,154,2192,154,2196,155,2202,162,2204,166,2204,170,2204,175,2202,178,2196,185,2192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10"/>
        </w:rPr>
        <w:t> </w:t>
      </w:r>
      <w:r>
        <w:rPr>
          <w:color w:val="6E6158"/>
        </w:rPr>
        <w:t>Beta</w:t>
      </w:r>
      <w:r>
        <w:rPr>
          <w:color w:val="6E6158"/>
          <w:spacing w:val="10"/>
        </w:rPr>
        <w:t> </w:t>
      </w:r>
      <w:r>
        <w:rPr>
          <w:color w:val="6E6158"/>
        </w:rPr>
        <w:t>Kappa</w:t>
      </w:r>
      <w:r>
        <w:rPr>
          <w:color w:val="6E6158"/>
          <w:spacing w:val="11"/>
        </w:rPr>
        <w:t> </w:t>
      </w:r>
      <w:r>
        <w:rPr>
          <w:color w:val="6E6158"/>
        </w:rPr>
        <w:t>Honor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1378727</wp:posOffset>
                </wp:positionH>
                <wp:positionV relativeFrom="paragraph">
                  <wp:posOffset>169985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84658pt;width:1.65pt;height:1.65pt;mso-position-horizontal-relative:page;mso-position-vertical-relative:paragraph;z-index:15731712" id="docshape16" coordorigin="2171,268" coordsize="33,33" path="m2192,300l2183,300,2179,299,2173,292,2171,288,2171,279,2173,276,2179,269,2183,268,2192,268,2196,269,2202,276,2204,279,2204,284,2204,288,2202,292,2196,299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Golden</w:t>
      </w:r>
      <w:r>
        <w:rPr>
          <w:color w:val="6E6158"/>
          <w:spacing w:val="15"/>
        </w:rPr>
        <w:t> </w:t>
      </w:r>
      <w:r>
        <w:rPr>
          <w:color w:val="6E6158"/>
        </w:rPr>
        <w:t>Key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6"/>
        </w:rPr>
        <w:t> </w:t>
      </w:r>
      <w:r>
        <w:rPr>
          <w:color w:val="6E6158"/>
        </w:rPr>
        <w:t>Honor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Society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152573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67pt;width:1.65pt;height:1.65pt;mso-position-horizontal-relative:page;mso-position-vertical-relative:paragraph;z-index:15732224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158109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556pt;width:1.65pt;height:1.65pt;mso-position-horizontal-relative:page;mso-position-vertical-relative:paragraph;z-index:15732736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8"/>
        </w:rPr>
        <w:t> </w:t>
      </w:r>
      <w:r>
        <w:rPr>
          <w:color w:val="6E6158"/>
        </w:rPr>
        <w:t>Lawyers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17"/>
          <w:position w:val="7"/>
          <w:sz w:val="16"/>
        </w:rPr>
        <w:t> </w:t>
      </w:r>
      <w:r>
        <w:rPr>
          <w:color w:val="6E6158"/>
        </w:rPr>
        <w:t>Ones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Watch: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2022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152588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857pt;width:1.65pt;height:1.65pt;mso-position-horizontal-relative:page;mso-position-vertical-relative:paragraph;z-index:15733248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“Entity</w:t>
      </w:r>
      <w:r>
        <w:rPr>
          <w:color w:val="6E6158"/>
          <w:spacing w:val="10"/>
        </w:rPr>
        <w:t> </w:t>
      </w:r>
      <w:r>
        <w:rPr>
          <w:color w:val="6E6158"/>
        </w:rPr>
        <w:t>Formation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Small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Owners,”</w:t>
      </w:r>
      <w:r>
        <w:rPr>
          <w:color w:val="6E6158"/>
          <w:spacing w:val="10"/>
        </w:rPr>
        <w:t> </w:t>
      </w:r>
      <w:r>
        <w:rPr>
          <w:color w:val="6E6158"/>
        </w:rPr>
        <w:t>Mi</w:t>
      </w:r>
      <w:r>
        <w:rPr>
          <w:color w:val="6E6158"/>
          <w:spacing w:val="10"/>
        </w:rPr>
        <w:t> </w:t>
      </w:r>
      <w:r>
        <w:rPr>
          <w:color w:val="6E6158"/>
        </w:rPr>
        <w:t>Casa</w:t>
      </w:r>
      <w:r>
        <w:rPr>
          <w:color w:val="6E6158"/>
          <w:spacing w:val="10"/>
        </w:rPr>
        <w:t> </w:t>
      </w:r>
      <w:r>
        <w:rPr>
          <w:color w:val="6E6158"/>
        </w:rPr>
        <w:t>Resource</w:t>
      </w:r>
      <w:r>
        <w:rPr>
          <w:color w:val="6E6158"/>
          <w:spacing w:val="10"/>
        </w:rPr>
        <w:t> </w:t>
      </w:r>
      <w:r>
        <w:rPr>
          <w:color w:val="6E6158"/>
        </w:rPr>
        <w:t>Center,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80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2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cmcshan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2024-12-04T08:25:13Z</dcterms:created>
  <dcterms:modified xsi:type="dcterms:W3CDTF">2024-12-04T08:25:13Z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