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8699" y="763308"/>
                            <a:ext cx="179514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 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REASER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8699" y="1859626"/>
                            <a:ext cx="179514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87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775.788.2227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dreaser@fennemorelaw.com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07554" y="3482163"/>
                            <a:ext cx="266763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anything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sacrifice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gift.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-Steve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Prefontaine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0744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b/>
                                  <w:color w:val="002E6B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R.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REASER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02;top:2716;width:2808;height:505" id="docshape6" coordorigin="7103,2716" coordsize="2808,505" path="m9910,3213l7103,3213,7103,3221,9910,3221,9910,3213xm9910,2716l7103,2716,7103,2725,9910,2725,991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02;top:1762;width:282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 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REASER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02;top:3488;width:2827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87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775.788.2227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dreaser@fennemorelaw.com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30;top:6043;width:4201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anything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sacrifice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gift.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-Steve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Prefontaine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744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DAN</w:t>
                        </w:r>
                        <w:r>
                          <w:rPr>
                            <w:b/>
                            <w:color w:val="002E6B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R.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REASER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218"/>
      </w:pPr>
      <w:r>
        <w:rPr>
          <w:color w:val="6E6158"/>
        </w:rPr>
        <w:t>For more than forty years, Dan has guided businesses navigating state and local licensing and</w:t>
      </w:r>
      <w:r>
        <w:rPr>
          <w:color w:val="6E6158"/>
          <w:spacing w:val="40"/>
        </w:rPr>
        <w:t> </w:t>
      </w:r>
      <w:r>
        <w:rPr>
          <w:color w:val="6E6158"/>
        </w:rPr>
        <w:t>regulatory responsibilities.</w:t>
      </w:r>
      <w:r>
        <w:rPr>
          <w:color w:val="6E6158"/>
          <w:spacing w:val="80"/>
        </w:rPr>
        <w:t> </w:t>
      </w:r>
      <w:r>
        <w:rPr>
          <w:color w:val="6E6158"/>
        </w:rPr>
        <w:t>His focus is on helping companies start, sustain and grow their organizations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gaming,</w:t>
      </w:r>
      <w:r>
        <w:rPr>
          <w:color w:val="6E6158"/>
          <w:spacing w:val="15"/>
        </w:rPr>
        <w:t> </w:t>
      </w:r>
      <w:r>
        <w:rPr>
          <w:color w:val="6E6158"/>
        </w:rPr>
        <w:t>financial</w:t>
      </w:r>
      <w:r>
        <w:rPr>
          <w:color w:val="6E6158"/>
          <w:spacing w:val="15"/>
        </w:rPr>
        <w:t> </w:t>
      </w:r>
      <w:r>
        <w:rPr>
          <w:color w:val="6E6158"/>
        </w:rPr>
        <w:t>services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5"/>
        </w:rPr>
        <w:t> </w:t>
      </w:r>
      <w:r>
        <w:rPr>
          <w:color w:val="6E6158"/>
        </w:rPr>
        <w:t>utility</w:t>
      </w:r>
      <w:r>
        <w:rPr>
          <w:color w:val="6E6158"/>
          <w:spacing w:val="15"/>
        </w:rPr>
        <w:t> </w:t>
      </w:r>
      <w:r>
        <w:rPr>
          <w:color w:val="6E6158"/>
        </w:rPr>
        <w:t>sectors.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15"/>
        </w:rPr>
        <w:t> </w:t>
      </w:r>
      <w:r>
        <w:rPr>
          <w:color w:val="6E6158"/>
        </w:rPr>
        <w:t>leads a team that supports regulated firms with transactions, operational compliance, and licensing,</w:t>
      </w:r>
      <w:r>
        <w:rPr>
          <w:color w:val="6E6158"/>
          <w:spacing w:val="40"/>
        </w:rPr>
        <w:t> </w:t>
      </w:r>
      <w:r>
        <w:rPr>
          <w:color w:val="6E6158"/>
        </w:rPr>
        <w:t>permitting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proceedings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administrative</w:t>
      </w:r>
      <w:r>
        <w:rPr>
          <w:color w:val="6E6158"/>
          <w:spacing w:val="21"/>
        </w:rPr>
        <w:t> </w:t>
      </w:r>
      <w:r>
        <w:rPr>
          <w:color w:val="6E6158"/>
        </w:rPr>
        <w:t>agencies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government</w:t>
      </w:r>
      <w:r>
        <w:rPr>
          <w:color w:val="6E6158"/>
          <w:spacing w:val="21"/>
        </w:rPr>
        <w:t> </w:t>
      </w:r>
      <w:r>
        <w:rPr>
          <w:color w:val="6E6158"/>
        </w:rPr>
        <w:t>bodies.</w:t>
      </w:r>
    </w:p>
    <w:p>
      <w:pPr>
        <w:pStyle w:val="BodyText"/>
        <w:spacing w:line="292" w:lineRule="auto"/>
        <w:ind w:left="104" w:right="289"/>
      </w:pPr>
      <w:r>
        <w:rPr>
          <w:color w:val="6E6158"/>
        </w:rPr>
        <w:t>His experience extends to government procurement disputes, judicial review of </w:t>
      </w:r>
      <w:r>
        <w:rPr>
          <w:color w:val="6E6158"/>
        </w:rPr>
        <w:t>government</w:t>
      </w:r>
      <w:r>
        <w:rPr>
          <w:color w:val="6E6158"/>
          <w:spacing w:val="40"/>
        </w:rPr>
        <w:t> </w:t>
      </w:r>
      <w:r>
        <w:rPr>
          <w:color w:val="6E6158"/>
        </w:rPr>
        <w:t>action, eminent domain and government relations strategy.</w:t>
      </w:r>
      <w:r>
        <w:rPr>
          <w:color w:val="6E6158"/>
          <w:spacing w:val="40"/>
        </w:rPr>
        <w:t> </w:t>
      </w:r>
      <w:r>
        <w:rPr>
          <w:color w:val="6E6158"/>
        </w:rPr>
        <w:t>He also undertakes unique</w:t>
      </w:r>
      <w:r>
        <w:rPr>
          <w:color w:val="6E6158"/>
          <w:spacing w:val="40"/>
        </w:rPr>
        <w:t> </w:t>
      </w:r>
      <w:r>
        <w:rPr>
          <w:color w:val="6E6158"/>
        </w:rPr>
        <w:t>assignments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local</w:t>
      </w:r>
      <w:r>
        <w:rPr>
          <w:color w:val="6E6158"/>
          <w:spacing w:val="29"/>
        </w:rPr>
        <w:t> </w:t>
      </w:r>
      <w:r>
        <w:rPr>
          <w:color w:val="6E6158"/>
        </w:rPr>
        <w:t>governments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projects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leverage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expertise.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General</w:t>
      </w:r>
    </w:p>
    <w:p>
      <w:pPr>
        <w:pStyle w:val="BodyText"/>
        <w:spacing w:line="292" w:lineRule="auto" w:before="6"/>
        <w:ind w:left="104" w:right="289"/>
      </w:pPr>
      <w:r>
        <w:rPr>
          <w:color w:val="6E6158"/>
        </w:rPr>
        <w:t>Counsel to the firm’s client, Greater Nevada Credit Union, a state chartered financial institution</w:t>
      </w:r>
      <w:r>
        <w:rPr>
          <w:color w:val="6E6158"/>
          <w:spacing w:val="40"/>
        </w:rPr>
        <w:t> </w:t>
      </w:r>
      <w:r>
        <w:rPr>
          <w:color w:val="6E6158"/>
        </w:rPr>
        <w:t>founded in 1949 with over 1.7 billion in assets and more than 88,000 members.</w:t>
      </w:r>
    </w:p>
    <w:p>
      <w:pPr>
        <w:pStyle w:val="BodyText"/>
        <w:spacing w:line="292" w:lineRule="auto" w:before="196"/>
        <w:ind w:left="104" w:right="218"/>
      </w:pPr>
      <w:r>
        <w:rPr>
          <w:color w:val="6E6158"/>
        </w:rPr>
        <w:t>Dan currently is the Chair of the Nevada Taxicab Authority Board, a five member citizen panel</w:t>
      </w:r>
      <w:r>
        <w:rPr>
          <w:color w:val="6E6158"/>
          <w:spacing w:val="40"/>
        </w:rPr>
        <w:t> </w:t>
      </w:r>
      <w:r>
        <w:rPr>
          <w:color w:val="6E6158"/>
        </w:rPr>
        <w:t>appointed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Nevada’s</w:t>
      </w:r>
      <w:r>
        <w:rPr>
          <w:color w:val="6E6158"/>
          <w:spacing w:val="30"/>
        </w:rPr>
        <w:t> </w:t>
      </w:r>
      <w:r>
        <w:rPr>
          <w:color w:val="6E6158"/>
        </w:rPr>
        <w:t>Governor,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oversight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licensed</w:t>
      </w:r>
      <w:r>
        <w:rPr>
          <w:color w:val="6E6158"/>
          <w:spacing w:val="30"/>
        </w:rPr>
        <w:t> </w:t>
      </w:r>
      <w:r>
        <w:rPr>
          <w:color w:val="6E6158"/>
        </w:rPr>
        <w:t>taxicab</w:t>
      </w:r>
      <w:r>
        <w:rPr>
          <w:color w:val="6E6158"/>
          <w:spacing w:val="30"/>
        </w:rPr>
        <w:t> </w:t>
      </w:r>
      <w:r>
        <w:rPr>
          <w:color w:val="6E6158"/>
        </w:rPr>
        <w:t>industry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Clark</w:t>
      </w:r>
    </w:p>
    <w:p>
      <w:pPr>
        <w:pStyle w:val="BodyText"/>
        <w:spacing w:line="292" w:lineRule="auto" w:before="9"/>
        <w:ind w:left="104" w:right="289"/>
      </w:pPr>
      <w:r>
        <w:rPr>
          <w:color w:val="6E6158"/>
        </w:rPr>
        <w:t>County, Nevada.</w:t>
      </w:r>
      <w:r>
        <w:rPr>
          <w:color w:val="6E6158"/>
          <w:spacing w:val="80"/>
        </w:rPr>
        <w:t> </w:t>
      </w:r>
      <w:r>
        <w:rPr>
          <w:color w:val="6E6158"/>
        </w:rPr>
        <w:t>He previously was the Chair of both the Nevada Private Investigators </w:t>
      </w:r>
      <w:r>
        <w:rPr>
          <w:color w:val="6E6158"/>
        </w:rPr>
        <w:t>Licensing Board and the Nevada Standing Committee on Judicial Ethics and Elections Practices.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40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Office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General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Nevada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Chief</w:t>
      </w:r>
      <w:r>
        <w:rPr>
          <w:color w:val="6E6158"/>
          <w:spacing w:val="25"/>
        </w:rPr>
        <w:t> </w:t>
      </w:r>
      <w:r>
        <w:rPr>
          <w:color w:val="6E6158"/>
        </w:rPr>
        <w:t>Deputy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Gaming</w:t>
      </w:r>
    </w:p>
    <w:p>
      <w:pPr>
        <w:pStyle w:val="BodyText"/>
        <w:spacing w:line="297" w:lineRule="auto" w:before="2"/>
        <w:ind w:left="104" w:right="280"/>
      </w:pPr>
      <w:r>
        <w:rPr>
          <w:color w:val="6E6158"/>
        </w:rPr>
        <w:t>Division, where he represented the Nevada Gaming Commission and the Nevada Gaming</w:t>
      </w:r>
      <w:r>
        <w:rPr>
          <w:color w:val="6E6158"/>
          <w:spacing w:val="40"/>
        </w:rPr>
        <w:t> </w:t>
      </w:r>
      <w:r>
        <w:rPr>
          <w:color w:val="6E6158"/>
        </w:rPr>
        <w:t>Board.</w:t>
      </w:r>
      <w:r>
        <w:rPr>
          <w:color w:val="6E6158"/>
          <w:spacing w:val="14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was</w:t>
      </w:r>
      <w:r>
        <w:rPr>
          <w:color w:val="6E6158"/>
          <w:spacing w:val="14"/>
        </w:rPr>
        <w:t> </w:t>
      </w:r>
      <w:r>
        <w:rPr>
          <w:color w:val="6E6158"/>
        </w:rPr>
        <w:t>Chief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Department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Transportation.</w:t>
      </w:r>
      <w:r>
        <w:rPr>
          <w:color w:val="6E6158"/>
          <w:spacing w:val="14"/>
        </w:rPr>
        <w:t> </w:t>
      </w:r>
      <w:r>
        <w:rPr>
          <w:color w:val="6E6158"/>
        </w:rPr>
        <w:t>During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4"/>
        </w:rPr>
        <w:t> </w:t>
      </w:r>
      <w:r>
        <w:rPr>
          <w:color w:val="6E6158"/>
        </w:rPr>
        <w:t>tenure</w:t>
      </w:r>
      <w:r>
        <w:rPr>
          <w:color w:val="6E6158"/>
          <w:spacing w:val="14"/>
        </w:rPr>
        <w:t> </w:t>
      </w:r>
      <w:r>
        <w:rPr>
          <w:color w:val="6E6158"/>
        </w:rPr>
        <w:t>as a</w:t>
      </w:r>
      <w:r>
        <w:rPr>
          <w:color w:val="6E6158"/>
          <w:spacing w:val="31"/>
        </w:rPr>
        <w:t> </w:t>
      </w:r>
      <w:r>
        <w:rPr>
          <w:color w:val="6E6158"/>
        </w:rPr>
        <w:t>deputy</w:t>
      </w:r>
      <w:r>
        <w:rPr>
          <w:color w:val="6E6158"/>
          <w:spacing w:val="31"/>
        </w:rPr>
        <w:t> </w:t>
      </w:r>
      <w:r>
        <w:rPr>
          <w:color w:val="6E6158"/>
        </w:rPr>
        <w:t>attorney</w:t>
      </w:r>
      <w:r>
        <w:rPr>
          <w:color w:val="6E6158"/>
          <w:spacing w:val="31"/>
        </w:rPr>
        <w:t> </w:t>
      </w:r>
      <w:r>
        <w:rPr>
          <w:color w:val="6E6158"/>
        </w:rPr>
        <w:t>general,</w:t>
      </w:r>
      <w:r>
        <w:rPr>
          <w:color w:val="6E6158"/>
          <w:spacing w:val="31"/>
        </w:rPr>
        <w:t> </w:t>
      </w:r>
      <w:r>
        <w:rPr>
          <w:color w:val="6E6158"/>
        </w:rPr>
        <w:t>Dan</w:t>
      </w:r>
      <w:r>
        <w:rPr>
          <w:color w:val="6E6158"/>
          <w:spacing w:val="31"/>
        </w:rPr>
        <w:t> </w:t>
      </w:r>
      <w:r>
        <w:rPr>
          <w:color w:val="6E6158"/>
        </w:rPr>
        <w:t>was</w:t>
      </w:r>
      <w:r>
        <w:rPr>
          <w:color w:val="6E6158"/>
          <w:spacing w:val="31"/>
        </w:rPr>
        <w:t> </w:t>
      </w:r>
      <w:r>
        <w:rPr>
          <w:color w:val="6E6158"/>
        </w:rPr>
        <w:t>counsel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Nevada</w:t>
      </w:r>
      <w:r>
        <w:rPr>
          <w:color w:val="6E6158"/>
          <w:spacing w:val="31"/>
        </w:rPr>
        <w:t> </w:t>
      </w:r>
      <w:r>
        <w:rPr>
          <w:color w:val="6E6158"/>
        </w:rPr>
        <w:t>Commissions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Economic</w:t>
      </w:r>
    </w:p>
    <w:p>
      <w:pPr>
        <w:pStyle w:val="BodyText"/>
        <w:spacing w:line="302" w:lineRule="auto"/>
        <w:ind w:left="104" w:right="289"/>
      </w:pPr>
      <w:r>
        <w:rPr>
          <w:color w:val="6E6158"/>
        </w:rPr>
        <w:t>Development, Tourism and Environmental Protection, and the State Departments of </w:t>
      </w:r>
      <w:r>
        <w:rPr>
          <w:color w:val="6E6158"/>
        </w:rPr>
        <w:t>Agriculture,</w:t>
      </w:r>
      <w:r>
        <w:rPr>
          <w:color w:val="6E6158"/>
          <w:spacing w:val="40"/>
        </w:rPr>
        <w:t> </w:t>
      </w:r>
      <w:r>
        <w:rPr>
          <w:color w:val="6E6158"/>
        </w:rPr>
        <w:t>Corrections, Minerals and Wildlife.</w:t>
      </w:r>
    </w:p>
    <w:p>
      <w:pPr>
        <w:pStyle w:val="BodyText"/>
        <w:spacing w:line="292" w:lineRule="auto" w:before="182"/>
        <w:ind w:left="104" w:right="289"/>
      </w:pPr>
      <w:r>
        <w:rPr>
          <w:color w:val="6E6158"/>
        </w:rPr>
        <w:t>When time permits, you can find Dan with family in the beloved Sierra Nevada.</w:t>
      </w:r>
      <w:r>
        <w:rPr>
          <w:color w:val="6E6158"/>
          <w:spacing w:val="80"/>
        </w:rPr>
        <w:t> </w:t>
      </w:r>
      <w:r>
        <w:rPr>
          <w:color w:val="6E6158"/>
        </w:rPr>
        <w:t>A red Old Town Loon 111 kayak, a Trek Rockhopper mountain bike and a very comfortable pair of Vasque hiking</w:t>
      </w:r>
      <w:r>
        <w:rPr>
          <w:color w:val="6E6158"/>
          <w:spacing w:val="40"/>
        </w:rPr>
        <w:t> </w:t>
      </w:r>
      <w:r>
        <w:rPr>
          <w:color w:val="6E6158"/>
        </w:rPr>
        <w:t>boots are always at the ready.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Western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29664" id="docshape1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Fullerton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spacing w:line="420" w:lineRule="auto"/>
        <w:ind w:right="5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64541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2045pt;width:1.65pt;height:1.65pt;mso-position-horizontal-relative:page;mso-position-vertical-relative:paragraph;z-index:15730176" id="docshape15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322907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5795pt;width:1.65pt;height:1.65pt;mso-position-horizontal-relative:page;mso-position-vertical-relative:paragraph;z-index:15730688" id="docshape16" coordorigin="1675,509" coordsize="33,33" path="m1696,541l1687,541,1683,539,1676,533,1675,529,1675,520,1676,516,1683,510,1687,509,1696,509,1699,510,1706,516,1707,520,1707,525,1707,529,1706,533,1699,539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</w:t>
      </w:r>
      <w:r>
        <w:rPr>
          <w:color w:val="6E6158"/>
        </w:rPr>
        <w:t>Procurement Business &amp; Finance</w:t>
      </w:r>
    </w:p>
    <w:p>
      <w:pPr>
        <w:pStyle w:val="BodyText"/>
        <w:spacing w:line="420" w:lineRule="auto" w:before="6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575pt;width:1.65pt;height:1.65pt;mso-position-horizontal-relative:page;mso-position-vertical-relative:paragraph;z-index:15731200" id="docshape1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327065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3201pt;width:1.65pt;height:1.65pt;mso-position-horizontal-relative:page;mso-position-vertical-relative:paragraph;z-index:15731712" id="docshape18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Gaming &amp; Hospitality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63880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98pt;width:1.65pt;height:1.65pt;mso-position-horizontal-relative:page;mso-position-vertical-relative:paragraph;z-index:15732224" id="docshape1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right="1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333744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279085pt;width:1.65pt;height:1.65pt;mso-position-horizontal-relative:page;mso-position-vertical-relative:paragraph;z-index:15732736" id="docshape20" coordorigin="1675,526" coordsize="33,33" path="m1696,558l1687,558,1683,557,1676,550,1675,546,1675,537,1676,534,1683,527,1687,526,1696,526,1699,527,1706,534,1707,537,1707,542,1707,546,1706,550,1699,557,1696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Representations in 2024 director and key executive licensing and suitability determinations by Nevada Gaming Commission for Tracy Harris, Marcus Glover, Ameet Patel and Arik Knowles of Bally’s Corporation.</w:t>
      </w:r>
    </w:p>
    <w:p>
      <w:pPr>
        <w:pStyle w:val="BodyText"/>
        <w:spacing w:line="295" w:lineRule="auto" w:before="124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417247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54107pt;width:1.65pt;height:1.65pt;mso-position-horizontal-relative:page;mso-position-vertical-relative:paragraph;z-index:15733248" id="docshape21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Regulatory support of Association of Gaming Equipment Manufactures in Nevada Gaming</w:t>
      </w:r>
      <w:r>
        <w:rPr>
          <w:color w:val="6E6158"/>
          <w:spacing w:val="40"/>
        </w:rPr>
        <w:t> </w:t>
      </w:r>
      <w:r>
        <w:rPr>
          <w:color w:val="6E6158"/>
        </w:rPr>
        <w:t>Control Board public workshops and working group sessions to improve gaming technology</w:t>
      </w:r>
      <w:r>
        <w:rPr>
          <w:color w:val="6E6158"/>
          <w:spacing w:val="40"/>
        </w:rPr>
        <w:t> </w:t>
      </w:r>
      <w:r>
        <w:rPr>
          <w:color w:val="6E6158"/>
        </w:rPr>
        <w:t>methods and efficiencies culminating in adoption of Gaming Technology Approval Guidelines (Notice No. 2024-53 dated May 28, 2024).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235956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271pt;width:1.65pt;height:1.65pt;mso-position-horizontal-relative:page;mso-position-vertical-relative:paragraph;z-index:15733760" id="docshape2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by Bally’s Corporation in 2023 registration and approvals by Nevada </w:t>
      </w:r>
      <w:r>
        <w:rPr>
          <w:color w:val="6E6158"/>
        </w:rPr>
        <w:t>Gaming</w:t>
      </w:r>
      <w:r>
        <w:rPr>
          <w:color w:val="6E6158"/>
          <w:spacing w:val="40"/>
        </w:rPr>
        <w:t> </w:t>
      </w:r>
      <w:r>
        <w:rPr>
          <w:color w:val="6E6158"/>
        </w:rPr>
        <w:t>Commission for corporate holding company reorganization.</w:t>
      </w:r>
    </w:p>
    <w:p>
      <w:pPr>
        <w:pStyle w:val="BodyText"/>
        <w:spacing w:line="297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317311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5165pt;width:1.65pt;height:1.65pt;mso-position-horizontal-relative:page;mso-position-vertical-relative:paragraph;z-index:15734272" id="docshape23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engagement by Robert Parker, Inc. for transactional and Nevada Gaming </w:t>
      </w:r>
      <w:r>
        <w:rPr>
          <w:color w:val="6E6158"/>
        </w:rPr>
        <w:t>Commission regulatory approvals in acquisition of multi-property gaming establishment operations at</w:t>
      </w:r>
      <w:r>
        <w:rPr>
          <w:color w:val="6E6158"/>
          <w:spacing w:val="40"/>
        </w:rPr>
        <w:t> </w:t>
      </w:r>
      <w:r>
        <w:rPr>
          <w:color w:val="6E6158"/>
        </w:rPr>
        <w:t>interstate travel facilities from Travel Centers of America, Inc.</w:t>
      </w:r>
    </w:p>
    <w:p>
      <w:pPr>
        <w:pStyle w:val="BodyText"/>
        <w:spacing w:line="292" w:lineRule="auto" w:before="118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227505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383pt;width:1.65pt;height:1.65pt;mso-position-horizontal-relative:page;mso-position-vertical-relative:paragraph;z-index:15734784" id="docshape24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2023</w:t>
      </w:r>
      <w:r>
        <w:rPr>
          <w:color w:val="6E6158"/>
          <w:spacing w:val="33"/>
        </w:rPr>
        <w:t> </w:t>
      </w:r>
      <w:r>
        <w:rPr>
          <w:color w:val="6E6158"/>
        </w:rPr>
        <w:t>mezzanine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$400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licensee.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323869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1554pt;width:1.65pt;height:1.65pt;mso-position-horizontal-relative:page;mso-position-vertical-relative:paragraph;z-index:15735296" id="docshape25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representation of closely-held Nevada gaming holding company in transactional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aspects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sale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five</w:t>
      </w:r>
      <w:r>
        <w:rPr>
          <w:color w:val="6E6158"/>
          <w:spacing w:val="33"/>
        </w:rPr>
        <w:t> </w:t>
      </w:r>
      <w:r>
        <w:rPr>
          <w:color w:val="6E6158"/>
        </w:rPr>
        <w:t>location</w:t>
      </w:r>
      <w:r>
        <w:rPr>
          <w:color w:val="6E6158"/>
          <w:spacing w:val="33"/>
        </w:rPr>
        <w:t> </w:t>
      </w:r>
      <w:r>
        <w:rPr>
          <w:color w:val="6E6158"/>
        </w:rPr>
        <w:t>casino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restricted</w:t>
      </w:r>
      <w:r>
        <w:rPr>
          <w:color w:val="6E6158"/>
          <w:spacing w:val="33"/>
        </w:rPr>
        <w:t> </w:t>
      </w:r>
      <w:r>
        <w:rPr>
          <w:color w:val="6E6158"/>
        </w:rPr>
        <w:t>operation</w:t>
      </w:r>
    </w:p>
    <w:p>
      <w:pPr>
        <w:pStyle w:val="BodyText"/>
        <w:spacing w:line="224" w:lineRule="exact"/>
      </w:pPr>
      <w:r>
        <w:rPr>
          <w:color w:val="6E6158"/>
        </w:rPr>
        <w:t>portfolio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Truckee</w:t>
      </w:r>
      <w:r>
        <w:rPr>
          <w:color w:val="6E6158"/>
          <w:spacing w:val="12"/>
        </w:rPr>
        <w:t> </w:t>
      </w:r>
      <w:r>
        <w:rPr>
          <w:color w:val="6E6158"/>
        </w:rPr>
        <w:t>Gaming,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2" w:lineRule="auto" w:before="17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263192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854pt;width:1.65pt;height:1.65pt;mso-position-horizontal-relative:page;mso-position-vertical-relative:paragraph;z-index:15735808" id="docshape26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2022 of Great Basin Water Company in consolidated general rate </w:t>
      </w:r>
      <w:r>
        <w:rPr>
          <w:color w:val="6E6158"/>
        </w:rPr>
        <w:t>case resolved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multi-party</w:t>
      </w:r>
      <w:r>
        <w:rPr>
          <w:color w:val="6E6158"/>
          <w:spacing w:val="36"/>
        </w:rPr>
        <w:t> </w:t>
      </w:r>
      <w:r>
        <w:rPr>
          <w:color w:val="6E6158"/>
        </w:rPr>
        <w:t>settlement</w:t>
      </w:r>
      <w:r>
        <w:rPr>
          <w:color w:val="6E6158"/>
          <w:spacing w:val="36"/>
        </w:rPr>
        <w:t> </w:t>
      </w:r>
      <w:r>
        <w:rPr>
          <w:color w:val="6E6158"/>
        </w:rPr>
        <w:t>before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Public</w:t>
      </w:r>
      <w:r>
        <w:rPr>
          <w:color w:val="6E6158"/>
          <w:spacing w:val="36"/>
        </w:rPr>
        <w:t> </w:t>
      </w:r>
      <w:r>
        <w:rPr>
          <w:color w:val="6E6158"/>
        </w:rPr>
        <w:t>Utilities</w:t>
      </w:r>
      <w:r>
        <w:rPr>
          <w:color w:val="6E6158"/>
          <w:spacing w:val="36"/>
        </w:rPr>
        <w:t> </w:t>
      </w:r>
      <w:r>
        <w:rPr>
          <w:color w:val="6E6158"/>
        </w:rPr>
        <w:t>Commission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Nevada.</w:t>
      </w:r>
    </w:p>
    <w:p>
      <w:pPr>
        <w:pStyle w:val="BodyText"/>
        <w:spacing w:line="292" w:lineRule="auto" w:before="13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236152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707pt;width:1.65pt;height:1.65pt;mso-position-horizontal-relative:page;mso-position-vertical-relative:paragraph;z-index:15736320" id="docshape2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$55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transaction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2022.</w:t>
      </w:r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230615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667pt;width:1.65pt;height:1.65pt;mso-position-horizontal-relative:page;mso-position-vertical-relative:paragraph;z-index:15736832" id="docshape2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 licensing in 2022 of San Pasqual Trust Company as Nevada retail trust company by</w:t>
      </w:r>
      <w:r>
        <w:rPr>
          <w:color w:val="6E6158"/>
          <w:spacing w:val="40"/>
        </w:rPr>
        <w:t> </w:t>
      </w:r>
      <w:r>
        <w:rPr>
          <w:color w:val="6E6158"/>
        </w:rPr>
        <w:t>Nevada Division of Financial Institutions.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235959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519pt;width:1.65pt;height:1.65pt;mso-position-horizontal-relative:page;mso-position-vertical-relative:paragraph;z-index:15737344" id="docshape2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2022 engagement by Bally’s Corporation in licensing, registration and approvals before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Nevada Gaming Commission to acquire Tropicana Las Vegas.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236224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374pt;width:1.65pt;height:1.65pt;mso-position-horizontal-relative:page;mso-position-vertical-relative:paragraph;z-index:15737856" id="docshape3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Bally’s Corporation in 2021 licensing, registration and approvals by </w:t>
      </w:r>
      <w:r>
        <w:rPr>
          <w:color w:val="6E6158"/>
        </w:rPr>
        <w:t>Nevada</w:t>
      </w:r>
      <w:r>
        <w:rPr>
          <w:color w:val="6E6158"/>
          <w:spacing w:val="40"/>
        </w:rPr>
        <w:t> </w:t>
      </w:r>
      <w:r>
        <w:rPr>
          <w:color w:val="6E6158"/>
        </w:rPr>
        <w:t>Gaming Commission to acquire MontBleu Resort Lake Tahoe.</w:t>
      </w:r>
    </w:p>
    <w:p>
      <w:pPr>
        <w:pStyle w:val="BodyText"/>
        <w:spacing w:line="292" w:lineRule="auto" w:before="11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223933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540pt;width:1.65pt;height:1.65pt;mso-position-horizontal-relative:page;mso-position-vertical-relative:paragraph;z-index:15738368" id="docshape3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2021 Approvals for Everi Games, Inc. from Nevada Gaming Commission for multi-</w:t>
      </w:r>
      <w:r>
        <w:rPr>
          <w:color w:val="6E6158"/>
        </w:rPr>
        <w:t>jurisdictional</w:t>
      </w:r>
      <w:r>
        <w:rPr>
          <w:color w:val="6E6158"/>
          <w:spacing w:val="40"/>
        </w:rPr>
        <w:t> </w:t>
      </w:r>
      <w:r>
        <w:rPr>
          <w:color w:val="6E6158"/>
        </w:rPr>
        <w:t>wide area progressive system.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9392" id="docshape3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defense of approval and award of contract by Nevada Department of Transportation</w:t>
      </w:r>
      <w:r>
        <w:rPr>
          <w:color w:val="6E6158"/>
          <w:spacing w:val="40"/>
        </w:rPr>
        <w:t> </w:t>
      </w:r>
      <w:r>
        <w:rPr>
          <w:color w:val="6E6158"/>
        </w:rPr>
        <w:t>for Ennis-Flint, Inc.</w:t>
      </w:r>
    </w:p>
    <w:p>
      <w:pPr>
        <w:pStyle w:val="BodyText"/>
        <w:spacing w:line="292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39904" id="docshape3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engagements by two insurance companies in obtaining health </w:t>
      </w:r>
      <w:r>
        <w:rPr>
          <w:color w:val="6E6158"/>
        </w:rPr>
        <w:t>maintenance organization certificates of authority from the Nevada Division of Insurance.</w:t>
      </w:r>
    </w:p>
    <w:p>
      <w:pPr>
        <w:pStyle w:val="BodyText"/>
        <w:spacing w:line="292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0416" id="docshape34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Legislative engagement for Association of Gaming Equipment Manufacturers on 2019</w:t>
      </w:r>
      <w:r>
        <w:rPr>
          <w:color w:val="6E6158"/>
          <w:spacing w:val="80"/>
        </w:rPr>
        <w:t> </w:t>
      </w:r>
      <w:r>
        <w:rPr>
          <w:color w:val="6E6158"/>
        </w:rPr>
        <w:t>passage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Assembly</w:t>
      </w:r>
      <w:r>
        <w:rPr>
          <w:color w:val="6E6158"/>
          <w:spacing w:val="16"/>
        </w:rPr>
        <w:t> </w:t>
      </w:r>
      <w:r>
        <w:rPr>
          <w:color w:val="6E6158"/>
        </w:rPr>
        <w:t>Bill</w:t>
      </w:r>
      <w:r>
        <w:rPr>
          <w:color w:val="6E6158"/>
          <w:spacing w:val="16"/>
        </w:rPr>
        <w:t> </w:t>
      </w:r>
      <w:r>
        <w:rPr>
          <w:color w:val="6E6158"/>
        </w:rPr>
        <w:t>221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expand</w:t>
      </w:r>
      <w:r>
        <w:rPr>
          <w:color w:val="6E6158"/>
          <w:spacing w:val="16"/>
        </w:rPr>
        <w:t> </w:t>
      </w:r>
      <w:r>
        <w:rPr>
          <w:color w:val="6E6158"/>
        </w:rPr>
        <w:t>gaming</w:t>
      </w:r>
      <w:r>
        <w:rPr>
          <w:color w:val="6E6158"/>
          <w:spacing w:val="16"/>
        </w:rPr>
        <w:t> </w:t>
      </w:r>
      <w:r>
        <w:rPr>
          <w:color w:val="6E6158"/>
        </w:rPr>
        <w:t>technology</w:t>
      </w:r>
      <w:r>
        <w:rPr>
          <w:color w:val="6E6158"/>
          <w:spacing w:val="16"/>
        </w:rPr>
        <w:t> </w:t>
      </w:r>
      <w:r>
        <w:rPr>
          <w:color w:val="6E6158"/>
        </w:rPr>
        <w:t>sector</w:t>
      </w:r>
      <w:r>
        <w:rPr>
          <w:color w:val="6E6158"/>
          <w:spacing w:val="16"/>
        </w:rPr>
        <w:t> </w:t>
      </w:r>
      <w:r>
        <w:rPr>
          <w:color w:val="6E6158"/>
        </w:rPr>
        <w:t>work</w:t>
      </w:r>
      <w:r>
        <w:rPr>
          <w:color w:val="6E6158"/>
          <w:spacing w:val="16"/>
        </w:rPr>
        <w:t> </w:t>
      </w:r>
      <w:r>
        <w:rPr>
          <w:color w:val="6E6158"/>
        </w:rPr>
        <w:t>force</w:t>
      </w:r>
      <w:r>
        <w:rPr>
          <w:color w:val="6E6158"/>
          <w:spacing w:val="16"/>
        </w:rPr>
        <w:t> </w:t>
      </w:r>
      <w:r>
        <w:rPr>
          <w:color w:val="6E6158"/>
        </w:rPr>
        <w:t>development.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0928" id="docshape3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2019 of Wynn Las Vegas, LLC for Nevada Gaming Commission licensing of Marilyn Spiegel as the President for Las Vegas properties.</w:t>
      </w:r>
    </w:p>
    <w:p>
      <w:pPr>
        <w:pStyle w:val="BodyText"/>
        <w:spacing w:line="29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1440" id="docshape36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2019 legislative representation of McLane Company, Inc. on Senate Bill 81 excise </w:t>
      </w:r>
      <w:r>
        <w:rPr>
          <w:color w:val="6E6158"/>
        </w:rPr>
        <w:t>tax </w:t>
      </w:r>
      <w:r>
        <w:rPr>
          <w:color w:val="6E6158"/>
          <w:spacing w:val="-2"/>
        </w:rPr>
        <w:t>amendments.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328816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1075pt;width:1.65pt;height:1.65pt;mso-position-horizontal-relative:page;mso-position-vertical-relative:paragraph;z-index:15741952" id="docshape37" coordorigin="1675,518" coordsize="33,33" path="m1696,550l1687,550,1683,549,1676,542,1675,539,1675,530,1676,526,1683,519,1687,518,1696,518,1699,519,1706,526,1707,530,1707,534,1707,539,1706,542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in 2019 by international payment processor firm in connection with </w:t>
      </w:r>
      <w:r>
        <w:rPr>
          <w:color w:val="6E6158"/>
        </w:rPr>
        <w:t>multi-</w:t>
      </w:r>
      <w:r>
        <w:rPr>
          <w:color w:val="6E6158"/>
          <w:spacing w:val="40"/>
        </w:rPr>
        <w:t> </w:t>
      </w:r>
      <w:r>
        <w:rPr>
          <w:color w:val="6E6158"/>
        </w:rPr>
        <w:t>jurisdictional gaming regulatory compliance and licensing for associated equipment technology development for use in the casino point of sale operations.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236456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8597pt;width:1.65pt;height:1.65pt;mso-position-horizontal-relative:page;mso-position-vertical-relative:paragraph;z-index:15742464" id="docshape38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special corporate and gaming counsel to underwriters in the initial public offering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social gaming technology company in 2019.</w:t>
      </w:r>
    </w:p>
    <w:p>
      <w:pPr>
        <w:pStyle w:val="BodyText"/>
        <w:spacing w:line="292" w:lineRule="auto" w:before="11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224164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0753pt;width:1.65pt;height:1.65pt;mso-position-horizontal-relative:page;mso-position-vertical-relative:paragraph;z-index:15742976" id="docshape3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engagement as counsel for Tronox, LLC in sale of Electrolytic Division to EMD Acquisition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323703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8478pt;width:1.65pt;height:1.65pt;mso-position-horizontal-relative:page;mso-position-vertical-relative:paragraph;z-index:15743488" id="docshape40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representation of MHM Solutions, Inc. in successful cancellation of contract award for</w:t>
      </w:r>
      <w:r>
        <w:rPr>
          <w:color w:val="6E6158"/>
          <w:spacing w:val="40"/>
        </w:rPr>
        <w:t> </w:t>
      </w:r>
      <w:r>
        <w:rPr>
          <w:color w:val="6E6158"/>
        </w:rPr>
        <w:t>temporary medical services by Nevada State Purchasing Division based on violation of state</w:t>
      </w:r>
      <w:r>
        <w:rPr>
          <w:color w:val="6E6158"/>
          <w:spacing w:val="40"/>
        </w:rPr>
        <w:t> </w:t>
      </w:r>
      <w:r>
        <w:rPr>
          <w:color w:val="6E6158"/>
        </w:rPr>
        <w:t>procurement laws.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1063521</wp:posOffset>
                </wp:positionH>
                <wp:positionV relativeFrom="paragraph">
                  <wp:posOffset>236510</wp:posOffset>
                </wp:positionV>
                <wp:extent cx="20955" cy="2095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2875pt;width:1.65pt;height:1.65pt;mso-position-horizontal-relative:page;mso-position-vertical-relative:paragraph;z-index:-15718400;mso-wrap-distance-left:0;mso-wrap-distance-right:0" id="docshape41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</w:rPr>
        <w:t>special</w:t>
      </w:r>
      <w:r>
        <w:rPr>
          <w:color w:val="6E6158"/>
          <w:spacing w:val="13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2018</w:t>
      </w:r>
      <w:r>
        <w:rPr>
          <w:color w:val="6E6158"/>
          <w:spacing w:val="13"/>
        </w:rPr>
        <w:t> </w:t>
      </w:r>
      <w:r>
        <w:rPr>
          <w:color w:val="6E6158"/>
        </w:rPr>
        <w:t>working</w:t>
      </w:r>
      <w:r>
        <w:rPr>
          <w:color w:val="6E6158"/>
          <w:spacing w:val="14"/>
        </w:rPr>
        <w:t> </w:t>
      </w:r>
      <w:r>
        <w:rPr>
          <w:color w:val="6E6158"/>
        </w:rPr>
        <w:t>capital</w:t>
      </w:r>
      <w:r>
        <w:rPr>
          <w:color w:val="6E6158"/>
          <w:spacing w:val="13"/>
        </w:rPr>
        <w:t> </w:t>
      </w:r>
      <w:r>
        <w:rPr>
          <w:color w:val="6E6158"/>
        </w:rPr>
        <w:t>loan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international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investment</w:t>
      </w:r>
    </w:p>
    <w:p>
      <w:pPr>
        <w:pStyle w:val="BodyText"/>
        <w:spacing w:before="12"/>
      </w:pPr>
      <w:r>
        <w:rPr>
          <w:color w:val="6E6158"/>
        </w:rPr>
        <w:t>bank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holding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publicly</w:t>
      </w:r>
      <w:r>
        <w:rPr>
          <w:color w:val="6E6158"/>
          <w:spacing w:val="13"/>
        </w:rPr>
        <w:t> </w:t>
      </w:r>
      <w:r>
        <w:rPr>
          <w:color w:val="6E6158"/>
        </w:rPr>
        <w:t>traded</w:t>
      </w:r>
      <w:r>
        <w:rPr>
          <w:color w:val="6E6158"/>
          <w:spacing w:val="14"/>
        </w:rPr>
        <w:t> </w:t>
      </w:r>
      <w:r>
        <w:rPr>
          <w:color w:val="6E6158"/>
        </w:rPr>
        <w:t>multi-jurisdictional</w:t>
      </w:r>
      <w:r>
        <w:rPr>
          <w:color w:val="6E6158"/>
          <w:spacing w:val="14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resort</w:t>
      </w:r>
      <w:r>
        <w:rPr>
          <w:color w:val="6E6158"/>
          <w:spacing w:val="14"/>
        </w:rPr>
        <w:t> </w:t>
      </w:r>
      <w:r>
        <w:rPr>
          <w:color w:val="6E6158"/>
        </w:rPr>
        <w:t>hotel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before="174"/>
      </w:pPr>
      <w:r>
        <w:rPr>
          <w:color w:val="6E6158"/>
        </w:rPr>
        <w:t>2017</w:t>
      </w:r>
      <w:r>
        <w:rPr>
          <w:color w:val="6E6158"/>
          <w:spacing w:val="13"/>
        </w:rPr>
        <w:t> </w:t>
      </w:r>
      <w:r>
        <w:rPr>
          <w:color w:val="6E6158"/>
        </w:rPr>
        <w:t>officer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director</w:t>
      </w:r>
      <w:r>
        <w:rPr>
          <w:color w:val="6E6158"/>
          <w:spacing w:val="14"/>
        </w:rPr>
        <w:t> </w:t>
      </w:r>
      <w:r>
        <w:rPr>
          <w:color w:val="6E6158"/>
        </w:rPr>
        <w:t>licensing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share</w:t>
      </w:r>
      <w:r>
        <w:rPr>
          <w:color w:val="6E6158"/>
          <w:spacing w:val="14"/>
        </w:rPr>
        <w:t> </w:t>
      </w:r>
      <w:r>
        <w:rPr>
          <w:color w:val="6E6158"/>
        </w:rPr>
        <w:t>redemption</w:t>
      </w:r>
      <w:r>
        <w:rPr>
          <w:color w:val="6E6158"/>
          <w:spacing w:val="14"/>
        </w:rPr>
        <w:t> </w:t>
      </w:r>
      <w:r>
        <w:rPr>
          <w:color w:val="6E6158"/>
        </w:rPr>
        <w:t>transaction</w:t>
      </w:r>
      <w:r>
        <w:rPr>
          <w:color w:val="6E6158"/>
          <w:spacing w:val="14"/>
        </w:rPr>
        <w:t> </w:t>
      </w:r>
      <w:r>
        <w:rPr>
          <w:color w:val="6E6158"/>
        </w:rPr>
        <w:t>approval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by</w:t>
      </w:r>
    </w:p>
    <w:p>
      <w:pPr>
        <w:pStyle w:val="BodyText"/>
        <w:spacing w:line="292" w:lineRule="auto" w:before="5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97602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5209pt;width:1.65pt;height:1.65pt;mso-position-horizontal-relative:page;mso-position-vertical-relative:paragraph;z-index:15744000" id="docshape42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Gaming Commission for Tracinda Corporation as controlling shareholder the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Kirk</w:t>
      </w:r>
      <w:r>
        <w:rPr>
          <w:color w:val="6E6158"/>
          <w:spacing w:val="29"/>
        </w:rPr>
        <w:t> </w:t>
      </w:r>
      <w:r>
        <w:rPr>
          <w:color w:val="6E6158"/>
        </w:rPr>
        <w:t>Kirkorian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largest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holder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equity</w:t>
      </w:r>
      <w:r>
        <w:rPr>
          <w:color w:val="6E6158"/>
          <w:spacing w:val="29"/>
        </w:rPr>
        <w:t> </w:t>
      </w:r>
      <w:r>
        <w:rPr>
          <w:color w:val="6E6158"/>
        </w:rPr>
        <w:t>stock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MGM</w:t>
      </w:r>
      <w:r>
        <w:rPr>
          <w:color w:val="6E6158"/>
          <w:spacing w:val="29"/>
        </w:rPr>
        <w:t> </w:t>
      </w:r>
      <w:r>
        <w:rPr>
          <w:color w:val="6E6158"/>
        </w:rPr>
        <w:t>Resorts</w:t>
      </w:r>
      <w:r>
        <w:rPr>
          <w:color w:val="6E6158"/>
          <w:spacing w:val="29"/>
        </w:rPr>
        <w:t> </w:t>
      </w:r>
      <w:r>
        <w:rPr>
          <w:color w:val="6E6158"/>
        </w:rPr>
        <w:t>International.</w:t>
      </w:r>
    </w:p>
    <w:p>
      <w:pPr>
        <w:pStyle w:val="BodyText"/>
        <w:spacing w:line="292" w:lineRule="auto" w:before="131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235876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935pt;width:1.65pt;height:1.65pt;mso-position-horizontal-relative:page;mso-position-vertical-relative:paragraph;z-index:15744512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2017 approval for Calpine Energy Solutions, LLC of merger with ECP ControlCo, LLP </w:t>
      </w:r>
      <w:r>
        <w:rPr>
          <w:color w:val="6E6158"/>
        </w:rPr>
        <w:t>and related license transfer.</w:t>
      </w:r>
    </w:p>
    <w:p>
      <w:pPr>
        <w:pStyle w:val="BodyText"/>
        <w:spacing w:line="295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416996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4404pt;width:1.65pt;height:1.65pt;mso-position-horizontal-relative:page;mso-position-vertical-relative:paragraph;z-index:15745024" id="docshape44" coordorigin="1675,657" coordsize="33,33" path="m1696,689l1687,689,1683,688,1676,681,1675,677,1675,668,1676,665,1683,658,1687,657,1696,657,1699,658,1706,665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Separate</w:t>
      </w:r>
      <w:r>
        <w:rPr>
          <w:color w:val="6E6158"/>
          <w:spacing w:val="30"/>
        </w:rPr>
        <w:t> </w:t>
      </w:r>
      <w:r>
        <w:rPr>
          <w:color w:val="6E6158"/>
        </w:rPr>
        <w:t>engagements</w:t>
      </w:r>
      <w:r>
        <w:rPr>
          <w:color w:val="6E6158"/>
          <w:spacing w:val="30"/>
        </w:rPr>
        <w:t> </w:t>
      </w:r>
      <w:r>
        <w:rPr>
          <w:color w:val="6E6158"/>
        </w:rPr>
        <w:t>during</w:t>
      </w:r>
      <w:r>
        <w:rPr>
          <w:color w:val="6E6158"/>
          <w:spacing w:val="30"/>
        </w:rPr>
        <w:t> </w:t>
      </w:r>
      <w:r>
        <w:rPr>
          <w:color w:val="6E6158"/>
        </w:rPr>
        <w:t>2017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multi-property</w:t>
      </w:r>
      <w:r>
        <w:rPr>
          <w:color w:val="6E6158"/>
          <w:spacing w:val="30"/>
        </w:rPr>
        <w:t> </w:t>
      </w:r>
      <w:r>
        <w:rPr>
          <w:color w:val="6E6158"/>
        </w:rPr>
        <w:t>resort</w:t>
      </w:r>
      <w:r>
        <w:rPr>
          <w:color w:val="6E6158"/>
          <w:spacing w:val="30"/>
        </w:rPr>
        <w:t> </w:t>
      </w:r>
      <w:r>
        <w:rPr>
          <w:color w:val="6E6158"/>
        </w:rPr>
        <w:t>hotel</w:t>
      </w:r>
      <w:r>
        <w:rPr>
          <w:color w:val="6E6158"/>
          <w:spacing w:val="30"/>
        </w:rPr>
        <w:t> </w:t>
      </w:r>
      <w:r>
        <w:rPr>
          <w:color w:val="6E6158"/>
        </w:rPr>
        <w:t>firm,</w:t>
      </w:r>
      <w:r>
        <w:rPr>
          <w:color w:val="6E6158"/>
          <w:spacing w:val="8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gaming technology</w:t>
      </w:r>
      <w:r>
        <w:rPr>
          <w:color w:val="6E6158"/>
          <w:spacing w:val="37"/>
        </w:rPr>
        <w:t> </w:t>
      </w:r>
      <w:r>
        <w:rPr>
          <w:color w:val="6E6158"/>
        </w:rPr>
        <w:t>company,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  <w:r>
        <w:rPr>
          <w:color w:val="6E6158"/>
          <w:spacing w:val="37"/>
        </w:rPr>
        <w:t> </w:t>
      </w:r>
      <w:r>
        <w:rPr>
          <w:color w:val="6E6158"/>
        </w:rPr>
        <w:t>skill-based</w:t>
      </w:r>
      <w:r>
        <w:rPr>
          <w:color w:val="6E6158"/>
          <w:spacing w:val="37"/>
        </w:rPr>
        <w:t> </w:t>
      </w:r>
      <w:r>
        <w:rPr>
          <w:color w:val="6E6158"/>
        </w:rPr>
        <w:t>mobile</w:t>
      </w:r>
      <w:r>
        <w:rPr>
          <w:color w:val="6E6158"/>
          <w:spacing w:val="37"/>
        </w:rPr>
        <w:t> </w:t>
      </w:r>
      <w:r>
        <w:rPr>
          <w:color w:val="6E6158"/>
        </w:rPr>
        <w:t>games</w:t>
      </w:r>
      <w:r>
        <w:rPr>
          <w:color w:val="6E6158"/>
          <w:spacing w:val="37"/>
        </w:rPr>
        <w:t> </w:t>
      </w:r>
      <w:r>
        <w:rPr>
          <w:color w:val="6E6158"/>
        </w:rPr>
        <w:t>platform</w:t>
      </w:r>
      <w:r>
        <w:rPr>
          <w:color w:val="6E6158"/>
          <w:spacing w:val="37"/>
        </w:rPr>
        <w:t> </w:t>
      </w:r>
      <w:r>
        <w:rPr>
          <w:color w:val="6E6158"/>
        </w:rPr>
        <w:t>operator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multi- jurisdictional gaming regulatory matters relating to various social gaming and sports </w:t>
      </w:r>
      <w:r>
        <w:rPr>
          <w:color w:val="6E6158"/>
        </w:rPr>
        <w:t>wagering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platforms.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143329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5822pt;width:1.65pt;height:1.65pt;mso-position-horizontal-relative:page;mso-position-vertical-relative:paragraph;z-index:15745536" id="docshape4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</w:t>
      </w:r>
      <w:r>
        <w:rPr>
          <w:color w:val="6E6158"/>
          <w:spacing w:val="13"/>
        </w:rPr>
        <w:t> </w:t>
      </w:r>
      <w:r>
        <w:rPr>
          <w:color w:val="6E6158"/>
        </w:rPr>
        <w:t>preliminary</w:t>
      </w:r>
      <w:r>
        <w:rPr>
          <w:color w:val="6E6158"/>
          <w:spacing w:val="13"/>
        </w:rPr>
        <w:t> </w:t>
      </w:r>
      <w:r>
        <w:rPr>
          <w:color w:val="6E6158"/>
        </w:rPr>
        <w:t>finding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suitability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Station</w:t>
      </w:r>
      <w:r>
        <w:rPr>
          <w:color w:val="6E6158"/>
          <w:spacing w:val="13"/>
        </w:rPr>
        <w:t> </w:t>
      </w:r>
      <w:r>
        <w:rPr>
          <w:color w:val="6E6158"/>
        </w:rPr>
        <w:t>Casino’s</w:t>
      </w:r>
      <w:r>
        <w:rPr>
          <w:color w:val="6E6158"/>
          <w:spacing w:val="13"/>
        </w:rPr>
        <w:t> </w:t>
      </w:r>
      <w:r>
        <w:rPr>
          <w:color w:val="6E6158"/>
        </w:rPr>
        <w:t>Project</w:t>
      </w:r>
      <w:r>
        <w:rPr>
          <w:color w:val="6E6158"/>
          <w:spacing w:val="13"/>
        </w:rPr>
        <w:t> </w:t>
      </w:r>
      <w:r>
        <w:rPr>
          <w:color w:val="6E6158"/>
        </w:rPr>
        <w:t>Redfield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Reno.</w:t>
      </w:r>
    </w:p>
    <w:p>
      <w:pPr>
        <w:pStyle w:val="BodyText"/>
        <w:spacing w:line="292" w:lineRule="auto" w:before="18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355885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22499pt;width:1.65pt;height:1.65pt;mso-position-horizontal-relative:page;mso-position-vertical-relative:paragraph;z-index:15746048" id="docshape46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 negotiation for City of Boulder City of Post-2017 Hoover Power electric service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related</w:t>
      </w:r>
      <w:r>
        <w:rPr>
          <w:color w:val="6E6158"/>
          <w:spacing w:val="33"/>
        </w:rPr>
        <w:t> </w:t>
      </w:r>
      <w:r>
        <w:rPr>
          <w:color w:val="6E6158"/>
        </w:rPr>
        <w:t>agreements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United</w:t>
      </w:r>
      <w:r>
        <w:rPr>
          <w:color w:val="6E6158"/>
          <w:spacing w:val="33"/>
        </w:rPr>
        <w:t> </w:t>
      </w:r>
      <w:r>
        <w:rPr>
          <w:color w:val="6E6158"/>
        </w:rPr>
        <w:t>States</w:t>
      </w:r>
      <w:r>
        <w:rPr>
          <w:color w:val="6E6158"/>
          <w:spacing w:val="33"/>
        </w:rPr>
        <w:t> </w:t>
      </w:r>
      <w:r>
        <w:rPr>
          <w:color w:val="6E6158"/>
        </w:rPr>
        <w:t>Bureau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Reclamation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Western</w:t>
      </w:r>
      <w:r>
        <w:rPr>
          <w:color w:val="6E6158"/>
          <w:spacing w:val="33"/>
        </w:rPr>
        <w:t> </w:t>
      </w:r>
      <w:r>
        <w:rPr>
          <w:color w:val="6E6158"/>
        </w:rPr>
        <w:t>Power</w:t>
      </w:r>
    </w:p>
    <w:p>
      <w:pPr>
        <w:pStyle w:val="BodyText"/>
        <w:spacing w:before="1"/>
      </w:pPr>
      <w:r>
        <w:rPr>
          <w:color w:val="6E6158"/>
          <w:spacing w:val="-2"/>
        </w:rPr>
        <w:t>Administration.</w:t>
      </w:r>
    </w:p>
    <w:p>
      <w:pPr>
        <w:pStyle w:val="BodyText"/>
        <w:spacing w:line="297" w:lineRule="auto" w:before="17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356060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6264pt;width:1.65pt;height:1.65pt;mso-position-horizontal-relative:page;mso-position-vertical-relative:paragraph;z-index:15746560" id="docshape47" coordorigin="1675,561" coordsize="33,33" path="m1696,593l1687,593,1683,592,1676,585,1675,581,1675,573,1676,569,1683,562,1687,561,1696,561,1699,562,1706,569,1707,573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2015 passage for the Association of Gaming Equipment Manufacturers of Senate Bill 9 and</w:t>
      </w:r>
      <w:r>
        <w:rPr>
          <w:color w:val="6E6158"/>
          <w:spacing w:val="40"/>
        </w:rPr>
        <w:t> </w:t>
      </w:r>
      <w:r>
        <w:rPr>
          <w:color w:val="6E6158"/>
        </w:rPr>
        <w:t>related adoption of Nevada Gaming Commission regulations authorizing development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play in Nevada of electronic skill-based games.</w:t>
      </w:r>
    </w:p>
    <w:p>
      <w:pPr>
        <w:pStyle w:val="BodyText"/>
        <w:spacing w:line="292" w:lineRule="auto" w:before="11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227519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4927pt;width:1.65pt;height:1.65pt;mso-position-horizontal-relative:page;mso-position-vertical-relative:paragraph;z-index:15747072" id="docshape48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2014 licensing and approvals for acquisition by Global Cash Access Holdings, Inc. </w:t>
      </w:r>
      <w:r>
        <w:rPr>
          <w:color w:val="6E6158"/>
        </w:rPr>
        <w:t>of Multimedia Games Holding Company, Inc.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329050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9525pt;width:1.65pt;height:1.65pt;mso-position-horizontal-relative:page;mso-position-vertical-relative:paragraph;z-index:15747584" id="docshape49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2013 adoption for International Game Technology and Bally Technologies, Inc. of </w:t>
      </w:r>
      <w:r>
        <w:rPr>
          <w:color w:val="6E6158"/>
        </w:rPr>
        <w:t>Nevada Gaming</w:t>
      </w:r>
      <w:r>
        <w:rPr>
          <w:color w:val="6E6158"/>
          <w:spacing w:val="40"/>
        </w:rPr>
        <w:t> </w:t>
      </w:r>
      <w:r>
        <w:rPr>
          <w:color w:val="6E6158"/>
        </w:rPr>
        <w:t>Commission</w:t>
      </w:r>
      <w:r>
        <w:rPr>
          <w:color w:val="6E6158"/>
          <w:spacing w:val="40"/>
        </w:rPr>
        <w:t> </w:t>
      </w:r>
      <w:r>
        <w:rPr>
          <w:color w:val="6E6158"/>
        </w:rPr>
        <w:t>Regulations</w:t>
      </w:r>
      <w:r>
        <w:rPr>
          <w:color w:val="6E6158"/>
          <w:spacing w:val="40"/>
        </w:rPr>
        <w:t> </w:t>
      </w:r>
      <w:r>
        <w:rPr>
          <w:color w:val="6E6158"/>
        </w:rPr>
        <w:t>authorizing</w:t>
      </w:r>
      <w:r>
        <w:rPr>
          <w:color w:val="6E6158"/>
          <w:spacing w:val="40"/>
        </w:rPr>
        <w:t> </w:t>
      </w:r>
      <w:r>
        <w:rPr>
          <w:color w:val="6E6158"/>
        </w:rPr>
        <w:t>multi-state</w:t>
      </w:r>
      <w:r>
        <w:rPr>
          <w:color w:val="6E6158"/>
          <w:spacing w:val="40"/>
        </w:rPr>
        <w:t> </w:t>
      </w:r>
      <w:r>
        <w:rPr>
          <w:color w:val="6E6158"/>
        </w:rPr>
        <w:t>progressive</w:t>
      </w:r>
      <w:r>
        <w:rPr>
          <w:color w:val="6E6158"/>
          <w:spacing w:val="40"/>
        </w:rPr>
        <w:t> </w:t>
      </w:r>
      <w:r>
        <w:rPr>
          <w:color w:val="6E6158"/>
        </w:rPr>
        <w:t>prizes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linked</w:t>
      </w:r>
      <w:r>
        <w:rPr>
          <w:color w:val="6E6158"/>
          <w:spacing w:val="40"/>
        </w:rPr>
        <w:t> </w:t>
      </w:r>
      <w:r>
        <w:rPr>
          <w:color w:val="6E6158"/>
        </w:rPr>
        <w:t>slot</w:t>
      </w:r>
    </w:p>
    <w:p>
      <w:pPr>
        <w:pStyle w:val="BodyText"/>
        <w:spacing w:before="2"/>
      </w:pPr>
      <w:r>
        <w:rPr>
          <w:color w:val="6E6158"/>
          <w:spacing w:val="-2"/>
        </w:rPr>
        <w:t>machines.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8096" id="docshape50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2012 and 2011 licensing and approvals for acquisition by private equity consortium of </w:t>
      </w:r>
      <w:r>
        <w:rPr>
          <w:color w:val="6E6158"/>
        </w:rPr>
        <w:t>Aliante</w:t>
      </w:r>
      <w:r>
        <w:rPr>
          <w:color w:val="6E6158"/>
          <w:spacing w:val="40"/>
        </w:rPr>
        <w:t> </w:t>
      </w:r>
      <w:r>
        <w:rPr>
          <w:color w:val="6E6158"/>
        </w:rPr>
        <w:t>Casino &amp; Hotel from Stations Casino, LLC.</w:t>
      </w:r>
    </w:p>
    <w:p>
      <w:pPr>
        <w:pStyle w:val="BodyText"/>
        <w:spacing w:line="292" w:lineRule="auto" w:before="132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8608" id="docshape5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approval of utility environmental protection act permits for Armagosa Valley Solar I, LLC</w:t>
      </w:r>
      <w:r>
        <w:rPr>
          <w:color w:val="6E6158"/>
          <w:spacing w:val="40"/>
        </w:rPr>
        <w:t> </w:t>
      </w:r>
      <w:r>
        <w:rPr>
          <w:color w:val="6E6158"/>
        </w:rPr>
        <w:t>to construct 500 megawatt solar generation plant.</w:t>
      </w:r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49120" id="docshape5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2010 approvals for credit facilities and notes offerings by International Game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Technology.</w:t>
      </w:r>
    </w:p>
    <w:p>
      <w:pPr>
        <w:pStyle w:val="BodyText"/>
        <w:spacing w:line="292" w:lineRule="auto" w:before="131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323843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9496pt;width:1.65pt;height:1.65pt;mso-position-horizontal-relative:page;mso-position-vertical-relative:paragraph;z-index:15749632" id="docshape53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2009 legislative engagements for the Association of Gaming Equipment Manufacturers on Assembly Bill 294 and Senate Bill 83 providing for the regulation of gaming</w:t>
      </w:r>
      <w:r>
        <w:rPr>
          <w:color w:val="6E6158"/>
          <w:spacing w:val="40"/>
        </w:rPr>
        <w:t> </w:t>
      </w:r>
      <w:r>
        <w:rPr>
          <w:color w:val="6E6158"/>
        </w:rPr>
        <w:t>device independent contractors.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236650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3894pt;width:1.65pt;height:1.65pt;mso-position-horizontal-relative:page;mso-position-vertical-relative:paragraph;z-index:15750144" id="docshape54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2010 approval of award and contract by Regional Transportation Commission of </w:t>
      </w:r>
      <w:r>
        <w:rPr>
          <w:color w:val="6E6158"/>
        </w:rPr>
        <w:t>Washoe County for First Transit.</w:t>
      </w:r>
    </w:p>
    <w:p>
      <w:pPr>
        <w:pStyle w:val="BodyText"/>
        <w:spacing w:line="292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224358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050pt;width:1.65pt;height:1.65pt;mso-position-horizontal-relative:page;mso-position-vertical-relative:paragraph;z-index:15750656" id="docshape5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2009 approval of award and contract by Nevada Public Employees Retirement System for</w:t>
      </w:r>
      <w:r>
        <w:rPr>
          <w:color w:val="6E6158"/>
          <w:spacing w:val="40"/>
        </w:rPr>
        <w:t> </w:t>
      </w:r>
      <w:r>
        <w:rPr>
          <w:color w:val="6E6158"/>
        </w:rPr>
        <w:t>Diversified Dental Services, Inc.</w:t>
      </w:r>
    </w:p>
    <w:p>
      <w:pPr>
        <w:pStyle w:val="BodyText"/>
        <w:spacing w:line="295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416909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27522pt;width:1.65pt;height:1.65pt;mso-position-horizontal-relative:page;mso-position-vertical-relative:paragraph;z-index:15751168" id="docshape56" coordorigin="1675,657" coordsize="33,33" path="m1696,689l1687,689,1683,688,1676,681,1675,677,1675,668,1676,664,1683,658,1687,657,1696,657,1699,658,1706,664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2007, 2003 and 1999 legislative engagements for AT&amp;T, Inc. and SBC Communications, Inc. on Assembly Bill 518, Assembly Bill 526, Senate Bill 400 and Senate Bill 440 adopting the state video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37"/>
        </w:rPr>
        <w:t> </w:t>
      </w:r>
      <w:r>
        <w:rPr>
          <w:color w:val="6E6158"/>
        </w:rPr>
        <w:t>franchise</w:t>
      </w:r>
      <w:r>
        <w:rPr>
          <w:color w:val="6E6158"/>
          <w:spacing w:val="37"/>
        </w:rPr>
        <w:t> </w:t>
      </w:r>
      <w:r>
        <w:rPr>
          <w:color w:val="6E6158"/>
        </w:rPr>
        <w:t>act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proving</w:t>
      </w:r>
      <w:r>
        <w:rPr>
          <w:color w:val="6E6158"/>
          <w:spacing w:val="37"/>
        </w:rPr>
        <w:t> </w:t>
      </w:r>
      <w:r>
        <w:rPr>
          <w:color w:val="6E6158"/>
        </w:rPr>
        <w:t>plan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program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telecommunications</w:t>
      </w:r>
      <w:r>
        <w:rPr>
          <w:color w:val="6E6158"/>
          <w:spacing w:val="37"/>
        </w:rPr>
        <w:t> </w:t>
      </w:r>
      <w:r>
        <w:rPr>
          <w:color w:val="6E6158"/>
        </w:rPr>
        <w:t>market regulatory reform.</w:t>
      </w:r>
    </w:p>
    <w:p>
      <w:pPr>
        <w:pStyle w:val="BodyText"/>
        <w:spacing w:line="420" w:lineRule="auto" w:before="132"/>
        <w:ind w:right="1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143242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936pt;width:1.65pt;height:1.65pt;mso-position-horizontal-relative:page;mso-position-vertical-relative:paragraph;z-index:15751680" id="docshape57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401608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2686pt;width:1.65pt;height:1.65pt;mso-position-horizontal-relative:page;mso-position-vertical-relative:paragraph;z-index:15752192" id="docshape58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 approvals of merger of First Republic Bank with Merrill Lynch Bank &amp; Trust. 2006 approval of demutualization of Employers’ Insurance Group.</w:t>
      </w:r>
    </w:p>
    <w:p>
      <w:pPr>
        <w:spacing w:line="288" w:lineRule="auto" w:before="0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151424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23218pt;width:1.65pt;height:1.65pt;mso-position-horizontal-relative:page;mso-position-vertical-relative:paragraph;z-index:15752704" id="docshape59" coordorigin="1675,238" coordsize="33,33" path="m1696,271l1687,271,1683,269,1676,263,1675,259,1675,250,1676,246,1683,240,1687,238,1696,238,1699,240,1706,246,1707,250,1707,255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Technology,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al.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Second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Judicial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District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al.,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122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132, 127 P.3d 1088 (2006).</w:t>
      </w:r>
    </w:p>
    <w:p>
      <w:pPr>
        <w:spacing w:line="408" w:lineRule="auto" w:before="114"/>
        <w:ind w:left="356" w:right="18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138437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00579pt;width:1.65pt;height:1.65pt;mso-position-horizontal-relative:page;mso-position-vertical-relative:paragraph;z-index:15753216" id="docshape60" coordorigin="1675,218" coordsize="33,33" path="m1696,251l1687,251,1683,249,1676,243,1675,239,1675,230,1676,226,1683,220,1687,218,1696,218,1699,220,1706,226,1707,230,1707,234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396802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44318pt;width:1.65pt;height:1.65pt;mso-position-horizontal-relative:page;mso-position-vertical-relative:paragraph;z-index:15753728" id="docshape61" coordorigin="1675,625" coordsize="33,33" path="m1696,657l1687,657,1683,656,1676,649,1675,646,1675,637,1676,633,1683,626,1687,625,1696,625,1699,626,1706,633,1707,637,1707,641,1707,646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Attorney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General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NOS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Communications,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120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65,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84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1052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(2004). 2003 licenses and approvals for formation of Schwab Bank, N.A.</w:t>
      </w:r>
    </w:p>
    <w:p>
      <w:pPr>
        <w:pStyle w:val="BodyText"/>
        <w:spacing w:line="292" w:lineRule="auto" w:before="11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159606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567469pt;width:1.65pt;height:1.65pt;mso-position-horizontal-relative:page;mso-position-vertical-relative:paragraph;z-index:15754240" id="docshape62" coordorigin="1675,251" coordsize="33,33" path="m1696,284l1687,284,1683,282,1676,276,1675,272,1675,263,1676,259,1683,253,1687,251,1696,251,1699,253,1706,259,1707,263,1707,268,1707,272,1706,276,1699,282,1696,2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2003 approval for SBC Communications, Inc. to offer long-distance service under Section </w:t>
      </w:r>
      <w:r>
        <w:rPr>
          <w:color w:val="6E6158"/>
        </w:rPr>
        <w:t>271</w:t>
      </w:r>
      <w:r>
        <w:rPr>
          <w:color w:val="6E6158"/>
          <w:spacing w:val="80"/>
        </w:rPr>
        <w:t> </w:t>
      </w:r>
      <w:r>
        <w:rPr>
          <w:color w:val="6E6158"/>
        </w:rPr>
        <w:t>of the Telecommunications Act.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143059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555pt;width:1.65pt;height:1.65pt;mso-position-horizontal-relative:page;mso-position-vertical-relative:paragraph;z-index:15754752" id="docshape6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Sengel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Technology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116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565,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258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2"/>
          <w:sz w:val="19"/>
        </w:rPr>
        <w:t>(2000).</w:t>
      </w:r>
    </w:p>
    <w:p>
      <w:pPr>
        <w:pStyle w:val="BodyText"/>
        <w:spacing w:line="292" w:lineRule="auto" w:before="17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261890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21325pt;width:1.65pt;height:1.65pt;mso-position-horizontal-relative:page;mso-position-vertical-relative:paragraph;z-index:15755264" id="docshape64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 initial registration and licensing of Sierra Design Group as manufacturer and distributor 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143108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411pt;width:1.65pt;height:1.65pt;mso-position-horizontal-relative:page;mso-position-vertical-relative:paragraph;z-index:15755776" id="docshape6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</w:t>
      </w:r>
      <w:r>
        <w:rPr>
          <w:color w:val="6E6158"/>
          <w:spacing w:val="13"/>
        </w:rPr>
        <w:t> </w:t>
      </w:r>
      <w:r>
        <w:rPr>
          <w:color w:val="6E6158"/>
        </w:rPr>
        <w:t>approval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SBC</w:t>
      </w:r>
      <w:r>
        <w:rPr>
          <w:color w:val="6E6158"/>
          <w:spacing w:val="13"/>
        </w:rPr>
        <w:t> </w:t>
      </w:r>
      <w:r>
        <w:rPr>
          <w:color w:val="6E6158"/>
        </w:rPr>
        <w:t>Communications,</w:t>
      </w:r>
      <w:r>
        <w:rPr>
          <w:color w:val="6E6158"/>
          <w:spacing w:val="14"/>
        </w:rPr>
        <w:t> </w:t>
      </w:r>
      <w:r>
        <w:rPr>
          <w:color w:val="6E6158"/>
        </w:rPr>
        <w:t>Inc.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acquire</w:t>
      </w:r>
      <w:r>
        <w:rPr>
          <w:color w:val="6E6158"/>
          <w:spacing w:val="13"/>
        </w:rPr>
        <w:t> </w:t>
      </w:r>
      <w:r>
        <w:rPr>
          <w:color w:val="6E6158"/>
        </w:rPr>
        <w:t>Ameritech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Corporation.</w:t>
      </w:r>
    </w:p>
    <w:p>
      <w:pPr>
        <w:pStyle w:val="BodyText"/>
        <w:spacing w:line="292" w:lineRule="auto" w:before="183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268455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216pt;width:1.65pt;height:1.65pt;mso-position-horizontal-relative:page;mso-position-vertical-relative:paragraph;z-index:15756288" id="docshape66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1998 and 1997 initial registration and licensing of Starwood Hotels &amp; Resorts Worldwide, </w:t>
      </w:r>
      <w:r>
        <w:rPr>
          <w:color w:val="6E6158"/>
        </w:rPr>
        <w:t>Inc. and acquisition of ITT Sheraton Corporation and Caesars World, Inc.</w:t>
      </w:r>
    </w:p>
    <w:p>
      <w:pPr>
        <w:pStyle w:val="BodyText"/>
        <w:spacing w:line="302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235700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071pt;width:1.65pt;height:1.65pt;mso-position-horizontal-relative:page;mso-position-vertical-relative:paragraph;z-index:15756800" id="docshape67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1997 legislative engagement for First Republic Bank on Assembly Bill 360 providing for </w:t>
      </w:r>
      <w:r>
        <w:rPr>
          <w:color w:val="6E6158"/>
        </w:rPr>
        <w:t>banking</w:t>
      </w:r>
      <w:r>
        <w:rPr>
          <w:color w:val="6E6158"/>
          <w:spacing w:val="40"/>
        </w:rPr>
        <w:t> </w:t>
      </w:r>
      <w:r>
        <w:rPr>
          <w:color w:val="6E6158"/>
        </w:rPr>
        <w:t>and thrift company regulatory reform.</w:t>
      </w:r>
    </w:p>
    <w:p>
      <w:pPr>
        <w:pStyle w:val="BodyText"/>
        <w:spacing w:line="420" w:lineRule="auto" w:before="113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131031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469pt;width:1.65pt;height:1.65pt;mso-position-horizontal-relative:page;mso-position-vertical-relative:paragraph;z-index:15757312" id="docshape6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394564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68083pt;width:1.65pt;height:1.65pt;mso-position-horizontal-relative:page;mso-position-vertical-relative:paragraph;z-index:15757824" id="docshape69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1996 approval for SBC Communications, Inc. to acquire Pacific Telesis </w:t>
      </w:r>
      <w:r>
        <w:rPr>
          <w:color w:val="6E6158"/>
        </w:rPr>
        <w:t>Corporation. 1996 approvals of acquisition of First Interstate Bank by Wells Fargo, N.A.</w:t>
      </w:r>
    </w:p>
    <w:p>
      <w:pPr>
        <w:pStyle w:val="BodyText"/>
        <w:spacing w:line="302" w:lineRule="auto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156446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18626pt;width:1.65pt;height:1.65pt;mso-position-horizontal-relative:page;mso-position-vertical-relative:paragraph;z-index:15758336" id="docshape70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1995 initial registration and licensing of WMS Industries Inc. as manufacturer and distributor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spacing w:before="10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129883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27024pt;width:1.65pt;height:1.65pt;mso-position-horizontal-relative:page;mso-position-vertical-relative:paragraph;z-index:15758848" id="docshape71" coordorigin="1675,205" coordsize="33,33" path="m1696,237l1687,237,1683,236,1676,229,1675,225,1675,216,1676,212,1683,206,1687,205,1696,205,1699,206,1706,212,1707,216,1707,221,1707,225,1706,229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Kraft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Jacka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872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F.2d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862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(9th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2"/>
          <w:sz w:val="19"/>
        </w:rPr>
        <w:t>1989).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173569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6922pt;width:1.65pt;height:1.65pt;mso-position-horizontal-relative:page;mso-position-vertical-relative:paragraph;z-index:15759360" id="docshape7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Hotel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Employees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Gaming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Control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Bd.,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588,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747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878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(1987).</w:t>
      </w:r>
    </w:p>
    <w:p>
      <w:pPr>
        <w:pStyle w:val="Heading1"/>
        <w:spacing w:before="21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spacing w:line="288" w:lineRule="auto" w:before="81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218956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240702pt;width:1.65pt;height:1.65pt;mso-position-horizontal-relative:page;mso-position-vertical-relative:paragraph;z-index:15760896" id="docshape73" coordorigin="1675,345" coordsize="33,33" path="m1696,377l1687,377,1683,376,1676,369,1675,366,1675,357,1676,353,1683,346,1687,345,1696,345,1699,346,1706,353,1707,357,1707,361,1707,366,1706,369,1699,376,1696,3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Energy Law, Gaming Law, </w:t>
      </w:r>
      <w:r>
        <w:rPr>
          <w:color w:val="6E6158"/>
          <w:sz w:val="19"/>
        </w:rPr>
        <w:t>2005- </w:t>
      </w:r>
      <w:r>
        <w:rPr>
          <w:color w:val="6E6158"/>
          <w:spacing w:val="-4"/>
          <w:sz w:val="19"/>
        </w:rPr>
        <w:t>2025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145967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3531pt;width:1.65pt;height:1.65pt;mso-position-horizontal-relative:page;mso-position-vertical-relative:paragraph;z-index:15761408" id="docshape74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2005-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178946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090288pt;width:1.65pt;height:1.65pt;mso-position-horizontal-relative:page;mso-position-vertical-relative:paragraph;z-index:15761920" id="docshape75" coordorigin="1675,282" coordsize="33,33" path="m1696,314l1687,314,1683,313,1676,306,1675,303,1675,294,1676,290,1683,283,1687,282,1696,282,1699,283,1706,290,1707,294,1707,298,1707,303,1706,306,1699,313,1696,3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Gaming,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2024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184396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9389pt;width:1.65pt;height:1.65pt;mso-position-horizontal-relative:page;mso-position-vertical-relative:paragraph;z-index:15762432" id="docshape76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Energy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2022</w:t>
      </w:r>
    </w:p>
    <w:p>
      <w:pPr>
        <w:spacing w:line="405" w:lineRule="auto" w:before="164"/>
        <w:ind w:left="356" w:right="18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184043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1616pt;width:1.65pt;height:1.65pt;mso-position-horizontal-relative:page;mso-position-vertical-relative:paragraph;z-index:15762944" id="docshape77" coordorigin="1675,290" coordsize="33,33" path="m1696,322l1687,322,1683,321,1676,314,1675,311,1675,302,1676,298,1683,291,1687,290,1696,290,1699,291,1706,298,1707,302,1707,306,1707,311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452743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9117pt;width:1.65pt;height:1.65pt;mso-position-horizontal-relative:page;mso-position-vertical-relative:paragraph;z-index:15763456" id="docshape78" coordorigin="1675,713" coordsize="33,33" path="m1696,746l1687,746,1683,744,1676,738,1675,734,1675,725,1676,721,1683,715,1687,713,1696,713,1699,715,1706,721,1707,725,1707,729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2015,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 “Legal Elite,”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  <w:sz w:val="19"/>
        </w:rPr>
        <w:t>, 2017</w:t>
      </w:r>
    </w:p>
    <w:p>
      <w:pPr>
        <w:pStyle w:val="BodyText"/>
        <w:spacing w:line="26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72098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77024pt;width:1.65pt;height:1.65pt;mso-position-horizontal-relative:page;mso-position-vertical-relative:paragraph;z-index:15763968" id="docshape79" coordorigin="1675,114" coordsize="33,33" path="m1696,146l1687,146,1683,145,1676,138,1675,134,1675,125,1676,121,1683,115,1687,114,1696,114,1699,115,1706,121,1707,125,1707,130,1707,134,1706,138,1699,145,1696,1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245872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0052pt;width:1.65pt;height:1.65pt;mso-position-horizontal-relative:page;mso-position-vertical-relative:paragraph;z-index:15764480" id="docshape80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“Thursday Thoughts with Dan Reaser: Will the Supreme Court Alter Decades of Judicial</w:t>
      </w:r>
      <w:r>
        <w:rPr>
          <w:color w:val="6E6158"/>
          <w:spacing w:val="40"/>
        </w:rPr>
        <w:t> </w:t>
      </w:r>
      <w:r>
        <w:rPr>
          <w:color w:val="6E6158"/>
        </w:rPr>
        <w:t>Deference to Regulators?,” Fennmore Blog, May 16, 2024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235977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898pt;width:1.65pt;height:1.65pt;mso-position-horizontal-relative:page;mso-position-vertical-relative:paragraph;z-index:15764992" id="docshape8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“Ensuring Industry Sustainability through Robust Responsible Gaming </w:t>
      </w:r>
      <w:r>
        <w:rPr>
          <w:color w:val="6E6158"/>
        </w:rPr>
        <w:t>Measures,” International</w:t>
      </w:r>
      <w:r>
        <w:rPr>
          <w:color w:val="6E6158"/>
          <w:spacing w:val="36"/>
        </w:rPr>
        <w:t> </w:t>
      </w:r>
      <w:r>
        <w:rPr>
          <w:color w:val="6E6158"/>
        </w:rPr>
        <w:t>Association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Advisors,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Summit,</w:t>
      </w:r>
      <w:r>
        <w:rPr>
          <w:color w:val="6E6158"/>
          <w:spacing w:val="36"/>
        </w:rPr>
        <w:t> </w:t>
      </w:r>
      <w:r>
        <w:rPr>
          <w:color w:val="6E6158"/>
        </w:rPr>
        <w:t>May</w:t>
      </w:r>
      <w:r>
        <w:rPr>
          <w:color w:val="6E6158"/>
          <w:spacing w:val="36"/>
        </w:rPr>
        <w:t> </w:t>
      </w:r>
      <w:r>
        <w:rPr>
          <w:color w:val="6E6158"/>
        </w:rPr>
        <w:t>30,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236242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748pt;width:1.65pt;height:1.65pt;mso-position-horizontal-relative:page;mso-position-vertical-relative:paragraph;z-index:15765504" id="docshape8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Author, “Cybersecurity Changes by the Gaming Commission,” Fennemore Client </w:t>
        </w:r>
        <w:r>
          <w:rPr>
            <w:color w:val="F5821F"/>
          </w:rPr>
          <w:t>Alert,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December 30, 2022</w:t>
        </w:r>
      </w:hyperlink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130938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0153pt;width:1.65pt;height:1.65pt;mso-position-horizontal-relative:page;mso-position-vertical-relative:paragraph;z-index:15766016" id="docshape83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“Lawsuit</w:t>
      </w:r>
      <w:r>
        <w:rPr>
          <w:color w:val="6E6158"/>
          <w:spacing w:val="12"/>
        </w:rPr>
        <w:t> </w:t>
      </w:r>
      <w:r>
        <w:rPr>
          <w:color w:val="6E6158"/>
        </w:rPr>
        <w:t>filed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mail-in</w:t>
      </w:r>
      <w:r>
        <w:rPr>
          <w:color w:val="6E6158"/>
          <w:spacing w:val="11"/>
        </w:rPr>
        <w:t> </w:t>
      </w:r>
      <w:r>
        <w:rPr>
          <w:color w:val="6E6158"/>
        </w:rPr>
        <w:t>voting</w:t>
      </w:r>
      <w:r>
        <w:rPr>
          <w:color w:val="6E6158"/>
          <w:spacing w:val="12"/>
        </w:rPr>
        <w:t> </w:t>
      </w:r>
      <w:r>
        <w:rPr>
          <w:color w:val="6E6158"/>
        </w:rPr>
        <w:t>law,”</w:t>
      </w:r>
      <w:r>
        <w:rPr>
          <w:color w:val="6E6158"/>
          <w:spacing w:val="12"/>
        </w:rPr>
        <w:t> </w:t>
      </w:r>
      <w:r>
        <w:rPr>
          <w:color w:val="6E6158"/>
        </w:rPr>
        <w:t>KTVN</w:t>
      </w:r>
      <w:r>
        <w:rPr>
          <w:color w:val="6E6158"/>
          <w:spacing w:val="11"/>
        </w:rPr>
        <w:t> </w:t>
      </w:r>
      <w:r>
        <w:rPr>
          <w:color w:val="6E6158"/>
        </w:rPr>
        <w:t>2</w:t>
      </w:r>
      <w:r>
        <w:rPr>
          <w:color w:val="6E6158"/>
          <w:spacing w:val="12"/>
        </w:rPr>
        <w:t> </w:t>
      </w:r>
      <w:r>
        <w:rPr>
          <w:color w:val="6E6158"/>
        </w:rPr>
        <w:t>News,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263270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9948pt;width:1.65pt;height:1.65pt;mso-position-horizontal-relative:page;mso-position-vertical-relative:paragraph;z-index:15766528" id="docshape84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“Nevada Creates Tax Amnesty Program Providing Relief From Penalties and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Interest,” Fennemore Client Alert, July 24, 2020</w:t>
        </w:r>
      </w:hyperlink>
    </w:p>
    <w:p>
      <w:pPr>
        <w:pStyle w:val="BodyText"/>
        <w:spacing w:line="283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236230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796pt;width:1.65pt;height:1.65pt;mso-position-horizontal-relative:page;mso-position-vertical-relative:paragraph;z-index:15767040" id="docshape8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“Digital and cashless gaming technology viewed as bring casinos into the </w:t>
      </w:r>
      <w:r>
        <w:rPr>
          <w:color w:val="6E6158"/>
        </w:rPr>
        <w:t>21st century”, </w:t>
      </w:r>
      <w:r>
        <w:rPr>
          <w:i/>
          <w:color w:val="6E6158"/>
          <w:sz w:val="20"/>
        </w:rPr>
        <w:t>The Nevada Independent</w:t>
      </w:r>
      <w:r>
        <w:rPr>
          <w:color w:val="6E6158"/>
        </w:rPr>
        <w:t>, June 22, 2020</w:t>
      </w:r>
    </w:p>
    <w:p>
      <w:pPr>
        <w:pStyle w:val="BodyText"/>
        <w:spacing w:line="292" w:lineRule="auto" w:before="127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233339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73203pt;width:1.65pt;height:1.65pt;mso-position-horizontal-relative:page;mso-position-vertical-relative:paragraph;z-index:15767552" id="docshape86" coordorigin="1675,367" coordsize="33,33" path="m1696,400l1687,400,1683,398,1676,392,1675,388,1675,379,1676,375,1683,369,1687,367,1696,367,1699,369,1706,375,1707,379,1707,384,1707,388,1706,392,1699,398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“Nevada Businesses Should Not Delay Renewing Their Licenses and </w:t>
        </w:r>
        <w:r>
          <w:rPr>
            <w:color w:val="FF8100"/>
          </w:rPr>
          <w:t>Permits,”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Fennemore Client Alert, April 23, 2020</w:t>
        </w:r>
      </w:hyperlink>
    </w:p>
    <w:p>
      <w:pPr>
        <w:spacing w:before="122" w:after="4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“Betting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Nevada: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Industry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Outlook,”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87" coordorigin="0,0" coordsize="33,33">
                <v:shape style="position:absolute;left:0;top:0;width:33;height:33" id="docshape8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February</w:t>
      </w:r>
      <w:r>
        <w:rPr>
          <w:color w:val="6E6158"/>
          <w:spacing w:val="10"/>
        </w:rPr>
        <w:t> </w:t>
      </w:r>
      <w:r>
        <w:rPr>
          <w:color w:val="6E6158"/>
        </w:rPr>
        <w:t>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3" w:lineRule="auto" w:before="17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262720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6653pt;width:1.65pt;height:1.65pt;mso-position-horizontal-relative:page;mso-position-vertical-relative:paragraph;z-index:15768064" id="docshape89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“OPINION: Plea for further restrictions on ex parte communications with the </w:t>
        </w:r>
        <w:r>
          <w:rPr>
            <w:color w:val="FF8100"/>
          </w:rPr>
          <w:t>Nevada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Gaming Commission is misguided,”</w:t>
        </w:r>
      </w:hyperlink>
      <w:r>
        <w:rPr>
          <w:color w:val="FF8100"/>
        </w:rPr>
        <w:t> </w:t>
      </w:r>
      <w:hyperlink r:id="rId14">
        <w:r>
          <w:rPr>
            <w:i/>
            <w:color w:val="FF8100"/>
            <w:sz w:val="20"/>
          </w:rPr>
          <w:t>CDC Gaming Reports, Inc.,</w:t>
        </w:r>
      </w:hyperlink>
      <w:r>
        <w:rPr>
          <w:i/>
          <w:color w:val="FF8100"/>
          <w:sz w:val="20"/>
        </w:rPr>
        <w:t> </w:t>
      </w:r>
      <w:hyperlink r:id="rId14">
        <w:r>
          <w:rPr>
            <w:color w:val="FF8100"/>
          </w:rPr>
          <w:t>January 24, 2020</w:t>
        </w:r>
      </w:hyperlink>
    </w:p>
    <w:p>
      <w:pPr>
        <w:pStyle w:val="BodyText"/>
        <w:spacing w:line="283" w:lineRule="auto" w:before="136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238962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5941pt;width:1.65pt;height:1.65pt;mso-position-horizontal-relative:page;mso-position-vertical-relative:paragraph;z-index:15768576" id="docshape90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“Nevada Gaming Attorneys Caution Lawmakers on Sports Betting: ‘You Really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to Give It Some Serious Thought’,” </w:t>
      </w:r>
      <w:r>
        <w:rPr>
          <w:i/>
          <w:color w:val="6E6158"/>
          <w:sz w:val="20"/>
        </w:rPr>
        <w:t>The Nevada Independent, </w:t>
      </w:r>
      <w:r>
        <w:rPr>
          <w:color w:val="6E6158"/>
        </w:rPr>
        <w:t>January 14, 2020</w:t>
      </w:r>
    </w:p>
    <w:p>
      <w:pPr>
        <w:pStyle w:val="BodyText"/>
        <w:spacing w:line="302" w:lineRule="auto" w:before="128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238699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5227pt;width:1.65pt;height:1.65pt;mso-position-horizontal-relative:page;mso-position-vertical-relative:paragraph;z-index:15769088" id="docshape91" coordorigin="1675,376" coordsize="33,33" path="m1696,408l1687,408,1683,407,1676,401,1675,397,1675,388,1676,384,1683,377,1687,376,1696,376,1699,377,1706,384,1707,388,1707,392,1707,397,1706,401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“Best Practices for the Future of Sports Betting,” NCLGS Winter Meeting, January </w:t>
      </w:r>
      <w:r>
        <w:rPr>
          <w:color w:val="6E6158"/>
          <w:spacing w:val="-4"/>
        </w:rPr>
        <w:t>2020</w:t>
      </w:r>
    </w:p>
    <w:p>
      <w:pPr>
        <w:pStyle w:val="BodyText"/>
        <w:spacing w:before="112" w:after="8"/>
      </w:pPr>
      <w:hyperlink r:id="rId15">
        <w:r>
          <w:rPr>
            <w:color w:val="FF8100"/>
          </w:rPr>
          <w:t>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Missed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Chance: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Nevada’s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Rejection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Adaptive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Play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Skill-Based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2"/>
          </w:rPr>
          <w:t>Games,”</w:t>
        </w:r>
      </w:hyperlink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92" coordorigin="0,0" coordsize="33,33">
                <v:shape style="position:absolute;left:0;top:0;width:33;height:33" id="docshape9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15">
        <w:r>
          <w:rPr>
            <w:i/>
            <w:color w:val="FF8100"/>
            <w:sz w:val="20"/>
          </w:rPr>
          <w:t>Gaming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Review,</w:t>
        </w:r>
      </w:hyperlink>
      <w:r>
        <w:rPr>
          <w:i/>
          <w:color w:val="FF8100"/>
          <w:spacing w:val="-14"/>
          <w:sz w:val="20"/>
        </w:rPr>
        <w:t> </w:t>
      </w:r>
      <w:hyperlink r:id="rId15">
        <w:r>
          <w:rPr>
            <w:color w:val="FF8100"/>
            <w:sz w:val="19"/>
          </w:rPr>
          <w:t>June</w:t>
        </w:r>
        <w:r>
          <w:rPr>
            <w:color w:val="FF8100"/>
            <w:spacing w:val="-13"/>
            <w:sz w:val="19"/>
          </w:rPr>
          <w:t> </w:t>
        </w:r>
        <w:r>
          <w:rPr>
            <w:color w:val="FF8100"/>
            <w:spacing w:val="-4"/>
            <w:sz w:val="19"/>
          </w:rPr>
          <w:t>2018</w:t>
        </w:r>
      </w:hyperlink>
    </w:p>
    <w:p>
      <w:pPr>
        <w:pStyle w:val="BodyText"/>
        <w:spacing w:line="302" w:lineRule="auto" w:before="17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13pt;width:1.65pt;height:1.65pt;mso-position-horizontal-relative:page;mso-position-vertical-relative:paragraph;z-index:15769600" id="docshape94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“Regulatory Challenges: Problems and Solutions,” IMGL Spring Conference, March 9, </w:t>
      </w:r>
      <w:r>
        <w:rPr>
          <w:color w:val="6E6158"/>
          <w:spacing w:val="-4"/>
        </w:rPr>
        <w:t>2018</w:t>
      </w:r>
    </w:p>
    <w:p>
      <w:pPr>
        <w:pStyle w:val="BodyText"/>
        <w:spacing w:line="412" w:lineRule="auto" w:before="113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131304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935pt;width:1.65pt;height:1.65pt;mso-position-horizontal-relative:page;mso-position-vertical-relative:paragraph;z-index:15770112" id="docshape95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394837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8955pt;width:1.65pt;height:1.65pt;mso-position-horizontal-relative:page;mso-position-vertical-relative:paragraph;z-index:15770624" id="docshape96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653202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433292pt;width:1.65pt;height:1.65pt;mso-position-horizontal-relative:page;mso-position-vertical-relative:paragraph;z-index:15771136" id="docshape97" coordorigin="1675,1029" coordsize="33,33" path="m1696,1061l1687,1061,1683,1060,1676,1053,1675,1049,1675,1040,1676,1037,1683,1030,1687,1029,1696,1029,1699,1030,1706,1037,1707,1040,1707,1045,1707,1049,1706,1053,1699,1060,1696,10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“PropSwap: A Company Looking to Hedge Your Bet,” ESPN, November 8, </w:t>
      </w:r>
      <w:r>
        <w:rPr>
          <w:color w:val="6E6158"/>
        </w:rPr>
        <w:t>2017 </w:t>
      </w:r>
      <w:hyperlink r:id="rId16">
        <w:r>
          <w:rPr>
            <w:color w:val="FF8100"/>
          </w:rPr>
          <w:t>Co-author,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“Nevada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Energy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Choice,”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October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12,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2017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Author, “The Next Evolution in Gaming Law,”</w:t>
        </w:r>
      </w:hyperlink>
      <w:r>
        <w:rPr>
          <w:color w:val="FF8100"/>
        </w:rPr>
        <w:t> </w:t>
      </w:r>
      <w:hyperlink r:id="rId17">
        <w:r>
          <w:rPr>
            <w:i/>
            <w:color w:val="FF8100"/>
            <w:sz w:val="20"/>
          </w:rPr>
          <w:t>Super Lawyers,</w:t>
        </w:r>
      </w:hyperlink>
      <w:r>
        <w:rPr>
          <w:i/>
          <w:color w:val="FF8100"/>
          <w:sz w:val="20"/>
        </w:rPr>
        <w:t> </w:t>
      </w:r>
      <w:hyperlink r:id="rId17">
        <w:r>
          <w:rPr>
            <w:color w:val="FF8100"/>
          </w:rPr>
          <w:t>2016</w:t>
        </w:r>
      </w:hyperlink>
    </w:p>
    <w:p>
      <w:pPr>
        <w:pStyle w:val="BodyText"/>
        <w:spacing w:line="24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63124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0454pt;width:1.65pt;height:1.65pt;mso-position-horizontal-relative:page;mso-position-vertical-relative:paragraph;z-index:15771648" id="docshape98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5"/>
        </w:rPr>
        <w:t> </w:t>
      </w:r>
      <w:r>
        <w:rPr>
          <w:color w:val="6E6158"/>
        </w:rPr>
        <w:t>“Nevada</w:t>
      </w:r>
      <w:r>
        <w:rPr>
          <w:color w:val="6E6158"/>
          <w:spacing w:val="5"/>
        </w:rPr>
        <w:t> </w:t>
      </w:r>
      <w:r>
        <w:rPr>
          <w:color w:val="6E6158"/>
        </w:rPr>
        <w:t>Lobbying,</w:t>
      </w:r>
      <w:r>
        <w:rPr>
          <w:color w:val="6E6158"/>
          <w:spacing w:val="5"/>
        </w:rPr>
        <w:t> </w:t>
      </w:r>
      <w:r>
        <w:rPr>
          <w:color w:val="6E6158"/>
        </w:rPr>
        <w:t>PACs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5"/>
        </w:rPr>
        <w:t> </w:t>
      </w:r>
      <w:r>
        <w:rPr>
          <w:color w:val="6E6158"/>
        </w:rPr>
        <w:t>Campaign</w:t>
      </w:r>
      <w:r>
        <w:rPr>
          <w:color w:val="6E6158"/>
          <w:spacing w:val="5"/>
        </w:rPr>
        <w:t> </w:t>
      </w:r>
      <w:r>
        <w:rPr>
          <w:color w:val="6E6158"/>
        </w:rPr>
        <w:t>Finance,”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SCG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Legal,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after="0" w:line="241" w:lineRule="exact"/>
        <w:sectPr>
          <w:pgSz w:w="12240" w:h="15840"/>
          <w:pgMar w:top="500" w:bottom="280" w:left="1440" w:right="1440"/>
        </w:sectPr>
      </w:pPr>
    </w:p>
    <w:p>
      <w:pPr>
        <w:spacing w:line="278" w:lineRule="auto" w:before="78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72160" id="docshape9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“Gaming Law Jurisdictional Comparison: Nevada,” </w:t>
      </w:r>
      <w:r>
        <w:rPr>
          <w:i/>
          <w:color w:val="6E6158"/>
          <w:sz w:val="20"/>
        </w:rPr>
        <w:t>Thompson Reuters </w:t>
      </w:r>
      <w:r>
        <w:rPr>
          <w:i/>
          <w:color w:val="6E6158"/>
          <w:sz w:val="20"/>
        </w:rPr>
        <w:t>European</w:t>
      </w:r>
      <w:r>
        <w:rPr>
          <w:i/>
          <w:color w:val="6E6158"/>
          <w:sz w:val="20"/>
        </w:rPr>
        <w:t> Lawyer Reference Series, </w:t>
      </w:r>
      <w:r>
        <w:rPr>
          <w:color w:val="6E6158"/>
          <w:sz w:val="19"/>
        </w:rPr>
        <w:t>2014</w:t>
      </w:r>
    </w:p>
    <w:p>
      <w:pPr>
        <w:pStyle w:val="BodyText"/>
        <w:spacing w:line="278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242230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3278pt;width:1.65pt;height:1.65pt;mso-position-horizontal-relative:page;mso-position-vertical-relative:paragraph;z-index:15772672" id="docshape100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Tie That Binds: Nevada Embraces Multi-Jurisdictional Progressive Prize Systems,” </w:t>
      </w:r>
      <w:r>
        <w:rPr>
          <w:i/>
          <w:color w:val="6E6158"/>
          <w:sz w:val="20"/>
        </w:rPr>
        <w:t>10</w:t>
      </w:r>
      <w:r>
        <w:rPr>
          <w:i/>
          <w:color w:val="6E6158"/>
          <w:sz w:val="20"/>
        </w:rPr>
        <w:t> Casino Lawyer 1, </w:t>
      </w:r>
      <w:r>
        <w:rPr>
          <w:color w:val="6E6158"/>
        </w:rPr>
        <w:t>Spring 2014</w:t>
      </w:r>
    </w:p>
    <w:p>
      <w:pPr>
        <w:pStyle w:val="BodyText"/>
        <w:spacing w:line="283" w:lineRule="auto" w:before="13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237016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62729pt;width:1.65pt;height:1.65pt;mso-position-horizontal-relative:page;mso-position-vertical-relative:paragraph;z-index:15773184" id="docshape101" coordorigin="1675,373" coordsize="33,33" path="m1696,406l1687,406,1683,404,1676,398,1675,394,1675,385,1676,381,1683,375,1687,373,1696,373,1699,375,1706,381,1707,385,1707,390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“Regulation of Gaming Device Software Development: Nevada’s Paradigm Shift </w:t>
      </w:r>
      <w:r>
        <w:rPr>
          <w:color w:val="6E6158"/>
        </w:rPr>
        <w:t>on Independent Contractors,” </w:t>
      </w:r>
      <w:r>
        <w:rPr>
          <w:i/>
          <w:color w:val="6E6158"/>
          <w:sz w:val="20"/>
        </w:rPr>
        <w:t>2 UNLV Gaming Law Journal 1, </w:t>
      </w:r>
      <w:r>
        <w:rPr>
          <w:color w:val="6E6158"/>
        </w:rPr>
        <w:t>2011</w:t>
      </w:r>
    </w:p>
    <w:p>
      <w:pPr>
        <w:pStyle w:val="BodyText"/>
        <w:spacing w:line="292" w:lineRule="auto" w:before="136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326502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08885pt;width:1.65pt;height:1.65pt;mso-position-horizontal-relative:page;mso-position-vertical-relative:paragraph;z-index:15773696" id="docshape102" coordorigin="1675,514" coordsize="33,33" path="m1696,547l1687,547,1683,545,1676,539,1675,535,1675,526,1676,522,1683,516,1687,514,1696,514,1699,516,1706,522,1707,526,1707,530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“Post-2017 Hoover Power Contracting: Building a Framework for Challenges of</w:t>
      </w:r>
      <w:r>
        <w:rPr>
          <w:color w:val="6E6158"/>
          <w:spacing w:val="40"/>
        </w:rPr>
        <w:t> </w:t>
      </w:r>
      <w:r>
        <w:rPr>
          <w:color w:val="6E6158"/>
        </w:rPr>
        <w:t>Delivering Hydropower for the Next Fifty Years,” State Bar of Nevada Section on Energy, Utilities</w:t>
      </w:r>
      <w:r>
        <w:rPr>
          <w:color w:val="6E6158"/>
          <w:spacing w:val="40"/>
        </w:rPr>
        <w:t> </w:t>
      </w:r>
      <w:r>
        <w:rPr>
          <w:color w:val="6E6158"/>
        </w:rPr>
        <w:t>and Communications Law Section Annual Conference, April 29, 2016</w:t>
      </w:r>
    </w:p>
    <w:p>
      <w:pPr>
        <w:pStyle w:val="BodyText"/>
        <w:spacing w:line="302" w:lineRule="auto" w:before="123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236134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283pt;width:1.65pt;height:1.65pt;mso-position-horizontal-relative:page;mso-position-vertical-relative:paragraph;z-index:15774208" id="docshape10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“Regulatory Developments on Skill Based and Hybrid Games,” International </w:t>
      </w:r>
      <w:r>
        <w:rPr>
          <w:color w:val="6E6158"/>
        </w:rPr>
        <w:t>Masters</w:t>
      </w:r>
      <w:r>
        <w:rPr>
          <w:color w:val="6E6158"/>
          <w:spacing w:val="80"/>
        </w:rPr>
        <w:t> </w:t>
      </w:r>
      <w:r>
        <w:rPr>
          <w:color w:val="6E6158"/>
        </w:rPr>
        <w:t>of Gaming Law, Spring Meeting, April 22, 2016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158131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299pt;width:1.65pt;height:1.65pt;mso-position-horizontal-relative:page;mso-position-vertical-relative:paragraph;z-index:15774720" id="docshape10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416497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5048pt;width:1.65pt;height:1.65pt;mso-position-horizontal-relative:page;mso-position-vertical-relative:paragraph;z-index:15775232" id="docshape105" coordorigin="1675,656" coordsize="33,33" path="m1696,688l1687,688,1683,687,1676,681,1675,677,1675,668,1676,664,1683,657,1687,656,1696,656,1699,657,1706,664,1707,668,1707,672,1707,677,1706,681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674862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8798pt;width:1.65pt;height:1.65pt;mso-position-horizontal-relative:page;mso-position-vertical-relative:paragraph;z-index:15775744" id="docshape106" coordorigin="1675,1063" coordsize="33,33" path="m1696,1095l1687,1095,1683,1094,1676,1087,1675,1084,1675,1075,1676,1071,1683,1064,1687,1063,1696,1063,1699,1064,1706,1071,1707,1075,1707,1079,1707,1084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Clark County Bar Association Member, Washoe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0" w:lineRule="auto"/>
        <w:ind w:right="3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58834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662pt;width:1.65pt;height:1.65pt;mso-position-horizontal-relative:page;mso-position-vertical-relative:paragraph;z-index:15776256" id="docshape107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322367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3287pt;width:1.65pt;height:1.65pt;mso-position-horizontal-relative:page;mso-position-vertical-relative:paragraph;z-index:15776768" id="docshape108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Masters of Gaming Law Member, International Association of Gaming </w:t>
      </w:r>
      <w:r>
        <w:rPr>
          <w:color w:val="6E6158"/>
        </w:rPr>
        <w:t>Advisors</w:t>
      </w:r>
    </w:p>
    <w:p>
      <w:pPr>
        <w:pStyle w:val="BodyText"/>
        <w:spacing w:line="427" w:lineRule="auto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62992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0067pt;width:1.65pt;height:1.65pt;mso-position-horizontal-relative:page;mso-position-vertical-relative:paragraph;z-index:15777280" id="docshape109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321358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3818pt;width:1.65pt;height:1.65pt;mso-position-horizontal-relative:page;mso-position-vertical-relative:paragraph;z-index:15777792" id="docshape110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State Bar Sections on Gaming Law, and Energy, Utilities &amp; Communication </w:t>
      </w:r>
      <w:r>
        <w:rPr>
          <w:color w:val="6E6158"/>
        </w:rPr>
        <w:t>Law Chair, Nevada Taxicab Authority Board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58275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8613pt;width:1.65pt;height:1.65pt;mso-position-horizontal-relative:page;mso-position-vertical-relative:paragraph;z-index:15778304" id="docshape111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Fee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420" w:lineRule="auto" w:before="17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173432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085pt;width:1.65pt;height:1.65pt;mso-position-horizontal-relative:page;mso-position-vertical-relative:paragraph;z-index:15778816" id="docshape112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431798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999851pt;width:1.65pt;height:1.65pt;mso-position-horizontal-relative:page;mso-position-vertical-relative:paragraph;z-index:15779328" id="docshape113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Visiting Instructor, Judicial Studies Program on Gaming and the Law, National Judicial College Audit Committee, Greater Nevada Credit Union (2012-2020)</w:t>
      </w:r>
    </w:p>
    <w:p>
      <w:pPr>
        <w:pStyle w:val="BodyText"/>
        <w:spacing w:line="420" w:lineRule="auto" w:before="7"/>
        <w:ind w:right="26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63838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628pt;width:1.65pt;height:1.65pt;mso-position-horizontal-relative:page;mso-position-vertical-relative:paragraph;z-index:15779840" id="docshape114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327370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77243pt;width:1.65pt;height:1.65pt;mso-position-horizontal-relative:page;mso-position-vertical-relative:paragraph;z-index:15780352" id="docshape115" coordorigin="1675,516" coordsize="33,33" path="m1696,548l1687,548,1683,547,1676,540,1675,536,1675,527,1676,523,1683,517,1687,516,1696,516,1699,517,1706,523,1707,527,1707,532,1707,536,1706,540,1699,547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Audit Committee, Washoe County School District (2006-</w:t>
      </w:r>
      <w:r>
        <w:rPr>
          <w:color w:val="6E6158"/>
        </w:rPr>
        <w:t>2016) Nevada State Bar Northern Disciplinary Board (2002-2014)</w:t>
      </w:r>
    </w:p>
    <w:p>
      <w:pPr>
        <w:pStyle w:val="BodyText"/>
        <w:spacing w:line="420" w:lineRule="auto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63551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042pt;width:1.65pt;height:1.65pt;mso-position-horizontal-relative:page;mso-position-vertical-relative:paragraph;z-index:15780864" id="docshape11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321916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7786pt;width:1.65pt;height:1.65pt;mso-position-horizontal-relative:page;mso-position-vertical-relative:paragraph;z-index:15781376" id="docshape117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Standing Committee on Judicial Ethics &amp; Election Practices (2003-</w:t>
      </w:r>
      <w:r>
        <w:rPr>
          <w:color w:val="6E6158"/>
        </w:rPr>
        <w:t>2011) Nevada Private Investigators Licensing Board (1984-1985)</w:t>
      </w:r>
    </w:p>
    <w:p>
      <w:pPr>
        <w:pStyle w:val="Heading1"/>
        <w:spacing w:before="166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152659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12pt;width:1.65pt;height:1.65pt;mso-position-horizontal-relative:page;mso-position-vertical-relative:paragraph;z-index:15781888" id="docshape1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416192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053pt;width:1.65pt;height:1.65pt;mso-position-horizontal-relative:page;mso-position-vertical-relative:paragraph;z-index:15782400" id="docshape11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63472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827pt;width:1.65pt;height:1.65pt;mso-position-horizontal-relative:page;mso-position-vertical-relative:paragraph;z-index:15782912" id="docshape12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174921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333pt;width:1.65pt;height:1.65pt;mso-position-horizontal-relative:page;mso-position-vertical-relative:paragraph;z-index:15783424" id="docshape12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174958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267pt;width:1.65pt;height:1.65pt;mso-position-horizontal-relative:page;mso-position-vertical-relative:paragraph;z-index:15783936" id="docshape122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dreaser@fennemorelaw.com" TargetMode="External"/><Relationship Id="rId11" Type="http://schemas.openxmlformats.org/officeDocument/2006/relationships/hyperlink" Target="https://mailchi.mp/9782da1c28fb/fennmore-general-elections-federal-and-state-update-dont-let-it-surprise-you-15828457?e=6383ff8993" TargetMode="External"/><Relationship Id="rId12" Type="http://schemas.openxmlformats.org/officeDocument/2006/relationships/hyperlink" Target="https://www.fennemorelaw.com/insights/newsletters/2020/nevada-creates-tax-amnesty-program-providing-relief-from-penalties-and-interest" TargetMode="External"/><Relationship Id="rId13" Type="http://schemas.openxmlformats.org/officeDocument/2006/relationships/hyperlink" Target="https://www.fennemorelaw.com/insights/newsletters/2020/nevada-businesses-should-not-delay-renewing-their-state-license-permits" TargetMode="External"/><Relationship Id="rId14" Type="http://schemas.openxmlformats.org/officeDocument/2006/relationships/hyperlink" Target="https://www.cdcgamingreports.com/opinion-plea-for-further-restrictions-on-ex-parte-communications-with-the-nevada-gaming-commission-is-misguided/" TargetMode="External"/><Relationship Id="rId15" Type="http://schemas.openxmlformats.org/officeDocument/2006/relationships/hyperlink" Target="https://www.liebertpub.com/doi/10.1089/glr2.2018.2252" TargetMode="External"/><Relationship Id="rId16" Type="http://schemas.openxmlformats.org/officeDocument/2006/relationships/hyperlink" Target="https://www.fennemorelaw.com/insights/newsletters/2017/nevada-energy-choice-alert" TargetMode="External"/><Relationship Id="rId17" Type="http://schemas.openxmlformats.org/officeDocument/2006/relationships/hyperlink" Target="https://digital.superlawyers.com/superlawyers/mxslrs16?pg=6&amp;pg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2024-12-04T08:12:18Z</dcterms:created>
  <dcterms:modified xsi:type="dcterms:W3CDTF">2024-12-04T08:12:18Z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