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16903" y="763308"/>
                            <a:ext cx="127889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8" w:firstLine="323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DANIEL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RAPAPORT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31095" y="2133494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49773" y="2500373"/>
                            <a:ext cx="16129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drapaport@fennemorelaw.com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602109" y="3756030"/>
                            <a:ext cx="287845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Litigation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pursuit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practical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ends,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game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chess.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Felix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Frankfurter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36461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DANIEL</w:t>
                              </w:r>
                              <w:r>
                                <w:rPr>
                                  <w:b/>
                                  <w:color w:val="FF8100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RAPAPORT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09;top:1762;width:2014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8" w:firstLine="323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DANIEL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RAPAPORT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919;width:709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246;top:4497;width:254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drapaport@fennemorelaw.com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864;top:6475;width:4533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Litigation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pursuit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practical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ends,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game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chess.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Felix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Frankfurter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149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DANIEL</w:t>
                        </w:r>
                        <w:r>
                          <w:rPr>
                            <w:b/>
                            <w:color w:val="FF8100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RAPAPORT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5" w:lineRule="auto"/>
        <w:ind w:left="104" w:right="307"/>
      </w:pPr>
      <w:r>
        <w:rPr>
          <w:color w:val="6E6158"/>
        </w:rPr>
        <w:t>As one of Fennemore’s senior litigators, Dan handles a wide array of complex business litigation,</w:t>
      </w:r>
      <w:r>
        <w:rPr>
          <w:color w:val="6E6158"/>
          <w:spacing w:val="40"/>
        </w:rPr>
        <w:t> </w:t>
      </w:r>
      <w:r>
        <w:rPr>
          <w:color w:val="6E6158"/>
        </w:rPr>
        <w:t>including unfair competition, trust and estate disputes, director and officer liability, and real</w:t>
      </w:r>
      <w:r>
        <w:rPr>
          <w:color w:val="6E6158"/>
          <w:spacing w:val="80"/>
        </w:rPr>
        <w:t> </w:t>
      </w:r>
      <w:r>
        <w:rPr>
          <w:color w:val="6E6158"/>
        </w:rPr>
        <w:t>estate disputes. He represents small and large companies, high net worth individuals, manufacturing</w:t>
      </w:r>
      <w:r>
        <w:rPr>
          <w:color w:val="6E6158"/>
          <w:spacing w:val="40"/>
        </w:rPr>
        <w:t> </w:t>
      </w:r>
      <w:r>
        <w:rPr>
          <w:color w:val="6E6158"/>
        </w:rPr>
        <w:t>concerns,</w:t>
      </w:r>
      <w:r>
        <w:rPr>
          <w:color w:val="6E6158"/>
          <w:spacing w:val="40"/>
        </w:rPr>
        <w:t> </w:t>
      </w:r>
      <w:r>
        <w:rPr>
          <w:color w:val="6E6158"/>
        </w:rPr>
        <w:t>distributors,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companies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40"/>
        </w:rPr>
        <w:t> </w:t>
      </w:r>
      <w:r>
        <w:rPr>
          <w:color w:val="6E6158"/>
        </w:rPr>
        <w:t>entities.</w:t>
      </w:r>
    </w:p>
    <w:p>
      <w:pPr>
        <w:pStyle w:val="BodyText"/>
        <w:spacing w:line="297" w:lineRule="auto" w:before="196"/>
        <w:ind w:left="104" w:right="307"/>
      </w:pPr>
      <w:r>
        <w:rPr>
          <w:color w:val="6E6158"/>
        </w:rPr>
        <w:t>He is equally comfortable in the courtroom representing his clients’ interests or in the boardroom</w:t>
      </w:r>
      <w:r>
        <w:rPr>
          <w:color w:val="6E6158"/>
          <w:spacing w:val="40"/>
        </w:rPr>
        <w:t> </w:t>
      </w:r>
      <w:r>
        <w:rPr>
          <w:color w:val="6E6158"/>
        </w:rPr>
        <w:t>providing advice designed to avoid litigation. His ability to find creative resolutions of complex</w:t>
      </w:r>
      <w:r>
        <w:rPr>
          <w:color w:val="6E6158"/>
          <w:spacing w:val="40"/>
        </w:rPr>
        <w:t> </w:t>
      </w:r>
      <w:r>
        <w:rPr>
          <w:color w:val="6E6158"/>
        </w:rPr>
        <w:t>disputes often presents the best solution for clients.</w:t>
      </w:r>
    </w:p>
    <w:p>
      <w:pPr>
        <w:pStyle w:val="Heading2"/>
        <w:spacing w:before="192"/>
      </w:pPr>
      <w:r>
        <w:rPr>
          <w:color w:val="6E6158"/>
          <w:spacing w:val="-2"/>
        </w:rPr>
        <w:t>Litigation</w:t>
      </w:r>
    </w:p>
    <w:p>
      <w:pPr>
        <w:pStyle w:val="BodyText"/>
        <w:spacing w:line="297" w:lineRule="auto" w:before="52"/>
        <w:ind w:left="104" w:right="417"/>
      </w:pPr>
      <w:r>
        <w:rPr>
          <w:color w:val="6E6158"/>
        </w:rPr>
        <w:t>Dan litigates in varied substantive areas. In the last ten years he has successfully represented</w:t>
      </w:r>
      <w:r>
        <w:rPr>
          <w:color w:val="6E6158"/>
          <w:spacing w:val="40"/>
        </w:rPr>
        <w:t> </w:t>
      </w:r>
      <w:r>
        <w:rPr>
          <w:color w:val="6E6158"/>
        </w:rPr>
        <w:t>bankruptcy trustees in actions against debtors, officers, directors and other professionals for</w:t>
      </w:r>
      <w:r>
        <w:rPr>
          <w:color w:val="6E6158"/>
          <w:spacing w:val="40"/>
        </w:rPr>
        <w:t> </w:t>
      </w:r>
      <w:r>
        <w:rPr>
          <w:color w:val="6E6158"/>
        </w:rPr>
        <w:t>misconduct. He has also represented manufacturing companies against entities who have</w:t>
      </w:r>
      <w:r>
        <w:rPr>
          <w:color w:val="6E6158"/>
          <w:spacing w:val="40"/>
        </w:rPr>
        <w:t> </w:t>
      </w:r>
      <w:r>
        <w:rPr>
          <w:color w:val="6E6158"/>
        </w:rPr>
        <w:t>damaged them through unfair competition, contract disputes, and trade secret theft. He is</w:t>
      </w:r>
      <w:r>
        <w:rPr>
          <w:color w:val="6E6158"/>
          <w:spacing w:val="40"/>
        </w:rPr>
        <w:t> </w:t>
      </w:r>
      <w:r>
        <w:rPr>
          <w:color w:val="6E6158"/>
        </w:rPr>
        <w:t>often called upon to represent shareholders, officers and directors of closely held agricultural,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40"/>
        </w:rPr>
        <w:t> </w:t>
      </w:r>
      <w:r>
        <w:rPr>
          <w:color w:val="6E6158"/>
        </w:rPr>
        <w:t>estate,</w:t>
      </w:r>
      <w:r>
        <w:rPr>
          <w:color w:val="6E6158"/>
          <w:spacing w:val="40"/>
        </w:rPr>
        <w:t> </w:t>
      </w:r>
      <w:r>
        <w:rPr>
          <w:color w:val="6E6158"/>
        </w:rPr>
        <w:t>manufacturing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technology</w:t>
      </w:r>
      <w:r>
        <w:rPr>
          <w:color w:val="6E6158"/>
          <w:spacing w:val="40"/>
        </w:rPr>
        <w:t> </w:t>
      </w:r>
      <w:r>
        <w:rPr>
          <w:color w:val="6E6158"/>
        </w:rPr>
        <w:t>companies</w:t>
      </w:r>
      <w:r>
        <w:rPr>
          <w:color w:val="6E6158"/>
          <w:spacing w:val="40"/>
        </w:rPr>
        <w:t> </w:t>
      </w:r>
      <w:r>
        <w:rPr>
          <w:color w:val="6E6158"/>
        </w:rPr>
        <w:t>that</w:t>
      </w:r>
      <w:r>
        <w:rPr>
          <w:color w:val="6E6158"/>
          <w:spacing w:val="40"/>
        </w:rPr>
        <w:t> </w:t>
      </w:r>
      <w:r>
        <w:rPr>
          <w:color w:val="6E6158"/>
        </w:rPr>
        <w:t>have</w:t>
      </w:r>
      <w:r>
        <w:rPr>
          <w:color w:val="6E6158"/>
          <w:spacing w:val="40"/>
        </w:rPr>
        <w:t> </w:t>
      </w:r>
      <w:r>
        <w:rPr>
          <w:color w:val="6E6158"/>
        </w:rPr>
        <w:t>internal</w:t>
      </w:r>
      <w:r>
        <w:rPr>
          <w:color w:val="6E6158"/>
          <w:spacing w:val="40"/>
        </w:rPr>
        <w:t> </w:t>
      </w:r>
      <w:r>
        <w:rPr>
          <w:color w:val="6E6158"/>
        </w:rPr>
        <w:t>conflicts.</w:t>
      </w:r>
    </w:p>
    <w:p>
      <w:pPr>
        <w:pStyle w:val="Heading2"/>
      </w:pPr>
      <w:r>
        <w:rPr>
          <w:color w:val="6E6158"/>
        </w:rPr>
        <w:t>Conflict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Resolution</w:t>
      </w:r>
    </w:p>
    <w:p>
      <w:pPr>
        <w:pStyle w:val="BodyText"/>
        <w:spacing w:line="295" w:lineRule="auto" w:before="52"/>
        <w:ind w:left="104" w:right="55"/>
      </w:pPr>
      <w:r>
        <w:rPr>
          <w:color w:val="6E6158"/>
        </w:rPr>
        <w:t>A stalwart problem solver, Dan focuses on efficient solutions and delivering results that impress his</w:t>
      </w:r>
      <w:r>
        <w:rPr>
          <w:color w:val="6E6158"/>
          <w:spacing w:val="40"/>
        </w:rPr>
        <w:t> </w:t>
      </w:r>
      <w:r>
        <w:rPr>
          <w:color w:val="6E6158"/>
        </w:rPr>
        <w:t>clients. He represents trustees, fiduciaries and beneficiaries of substantial estates and trusts in all</w:t>
      </w:r>
      <w:r>
        <w:rPr>
          <w:color w:val="6E6158"/>
          <w:spacing w:val="40"/>
        </w:rPr>
        <w:t> </w:t>
      </w:r>
      <w:r>
        <w:rPr>
          <w:color w:val="6E6158"/>
        </w:rPr>
        <w:t>types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fiduciary</w:t>
      </w:r>
      <w:r>
        <w:rPr>
          <w:color w:val="6E6158"/>
          <w:spacing w:val="29"/>
        </w:rPr>
        <w:t> </w:t>
      </w:r>
      <w:r>
        <w:rPr>
          <w:color w:val="6E6158"/>
        </w:rPr>
        <w:t>disputes.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represents</w:t>
      </w:r>
      <w:r>
        <w:rPr>
          <w:color w:val="6E6158"/>
          <w:spacing w:val="29"/>
        </w:rPr>
        <w:t> </w:t>
      </w:r>
      <w:r>
        <w:rPr>
          <w:color w:val="6E6158"/>
        </w:rPr>
        <w:t>public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private</w:t>
      </w:r>
      <w:r>
        <w:rPr>
          <w:color w:val="6E6158"/>
          <w:spacing w:val="29"/>
        </w:rPr>
        <w:t> </w:t>
      </w:r>
      <w:r>
        <w:rPr>
          <w:color w:val="6E6158"/>
        </w:rPr>
        <w:t>entities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contract</w:t>
      </w:r>
      <w:r>
        <w:rPr>
          <w:color w:val="6E6158"/>
          <w:spacing w:val="29"/>
        </w:rPr>
        <w:t> </w:t>
      </w:r>
      <w:r>
        <w:rPr>
          <w:color w:val="6E6158"/>
        </w:rPr>
        <w:t>disputes</w:t>
      </w:r>
      <w:r>
        <w:rPr>
          <w:color w:val="6E6158"/>
          <w:spacing w:val="29"/>
        </w:rPr>
        <w:t> </w:t>
      </w:r>
      <w:r>
        <w:rPr>
          <w:color w:val="6E6158"/>
        </w:rPr>
        <w:t>over real</w:t>
      </w:r>
      <w:r>
        <w:rPr>
          <w:color w:val="6E6158"/>
          <w:spacing w:val="38"/>
        </w:rPr>
        <w:t> </w:t>
      </w:r>
      <w:r>
        <w:rPr>
          <w:color w:val="6E6158"/>
        </w:rPr>
        <w:t>estate,</w:t>
      </w:r>
      <w:r>
        <w:rPr>
          <w:color w:val="6E6158"/>
          <w:spacing w:val="38"/>
        </w:rPr>
        <w:t> </w:t>
      </w:r>
      <w:r>
        <w:rPr>
          <w:color w:val="6E6158"/>
        </w:rPr>
        <w:t>construction,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general</w:t>
      </w:r>
      <w:r>
        <w:rPr>
          <w:color w:val="6E6158"/>
          <w:spacing w:val="38"/>
        </w:rPr>
        <w:t> </w:t>
      </w:r>
      <w:r>
        <w:rPr>
          <w:color w:val="6E6158"/>
        </w:rPr>
        <w:t>commercial</w:t>
      </w:r>
      <w:r>
        <w:rPr>
          <w:color w:val="6E6158"/>
          <w:spacing w:val="38"/>
        </w:rPr>
        <w:t> </w:t>
      </w:r>
      <w:r>
        <w:rPr>
          <w:color w:val="6E6158"/>
        </w:rPr>
        <w:t>operations.</w:t>
      </w:r>
      <w:r>
        <w:rPr>
          <w:color w:val="6E6158"/>
          <w:spacing w:val="38"/>
        </w:rPr>
        <w:t> </w:t>
      </w:r>
      <w:r>
        <w:rPr>
          <w:color w:val="6E6158"/>
        </w:rPr>
        <w:t>He</w:t>
      </w:r>
      <w:r>
        <w:rPr>
          <w:color w:val="6E6158"/>
          <w:spacing w:val="38"/>
        </w:rPr>
        <w:t> </w:t>
      </w:r>
      <w:r>
        <w:rPr>
          <w:color w:val="6E6158"/>
        </w:rPr>
        <w:t>also</w:t>
      </w:r>
      <w:r>
        <w:rPr>
          <w:color w:val="6E6158"/>
          <w:spacing w:val="38"/>
        </w:rPr>
        <w:t> </w:t>
      </w:r>
      <w:r>
        <w:rPr>
          <w:color w:val="6E6158"/>
        </w:rPr>
        <w:t>represents</w:t>
      </w:r>
      <w:r>
        <w:rPr>
          <w:color w:val="6E6158"/>
          <w:spacing w:val="38"/>
        </w:rPr>
        <w:t> </w:t>
      </w:r>
      <w:r>
        <w:rPr>
          <w:color w:val="6E6158"/>
        </w:rPr>
        <w:t>companies</w:t>
      </w:r>
    </w:p>
    <w:p>
      <w:pPr>
        <w:pStyle w:val="BodyText"/>
        <w:spacing w:before="1"/>
        <w:ind w:left="104"/>
      </w:pPr>
      <w:r>
        <w:rPr>
          <w:color w:val="6E6158"/>
        </w:rPr>
        <w:t>that</w:t>
      </w:r>
      <w:r>
        <w:rPr>
          <w:color w:val="6E6158"/>
          <w:spacing w:val="13"/>
        </w:rPr>
        <w:t> </w:t>
      </w:r>
      <w:r>
        <w:rPr>
          <w:color w:val="6E6158"/>
        </w:rPr>
        <w:t>sell</w:t>
      </w:r>
      <w:r>
        <w:rPr>
          <w:color w:val="6E6158"/>
          <w:spacing w:val="14"/>
        </w:rPr>
        <w:t> </w:t>
      </w:r>
      <w:r>
        <w:rPr>
          <w:color w:val="6E6158"/>
        </w:rPr>
        <w:t>products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consumers,</w:t>
      </w:r>
      <w:r>
        <w:rPr>
          <w:color w:val="6E6158"/>
          <w:spacing w:val="14"/>
        </w:rPr>
        <w:t> </w:t>
      </w:r>
      <w:r>
        <w:rPr>
          <w:color w:val="6E6158"/>
        </w:rPr>
        <w:t>regarding</w:t>
      </w:r>
      <w:r>
        <w:rPr>
          <w:color w:val="6E6158"/>
          <w:spacing w:val="13"/>
        </w:rPr>
        <w:t> </w:t>
      </w:r>
      <w:r>
        <w:rPr>
          <w:color w:val="6E6158"/>
        </w:rPr>
        <w:t>Proposition</w:t>
      </w:r>
      <w:r>
        <w:rPr>
          <w:color w:val="6E6158"/>
          <w:spacing w:val="14"/>
        </w:rPr>
        <w:t> </w:t>
      </w:r>
      <w:r>
        <w:rPr>
          <w:color w:val="6E6158"/>
        </w:rPr>
        <w:t>65</w:t>
      </w:r>
      <w:r>
        <w:rPr>
          <w:color w:val="6E6158"/>
          <w:spacing w:val="14"/>
        </w:rPr>
        <w:t> </w:t>
      </w:r>
      <w:r>
        <w:rPr>
          <w:color w:val="6E6158"/>
        </w:rPr>
        <w:t>compliance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matters.</w:t>
      </w:r>
    </w:p>
    <w:p>
      <w:pPr>
        <w:pStyle w:val="Heading1"/>
        <w:spacing w:before="221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45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152" id="docshape1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29664" id="docshape17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Davis School of </w:t>
      </w:r>
      <w:r>
        <w:rPr>
          <w:color w:val="6E6158"/>
        </w:rPr>
        <w:t>Law</w:t>
      </w:r>
      <w:r>
        <w:rPr>
          <w:color w:val="6E6158"/>
        </w:rPr>
        <w:t> B.A., University of California, Berkeley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0" w:lineRule="auto" w:before="1"/>
        <w:ind w:left="356" w:right="70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59899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6495pt;width:1.65pt;height:1.65pt;mso-position-horizontal-relative:page;mso-position-vertical-relative:paragraph;z-index:15730176" id="docshape18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318265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0244pt;width:1.65pt;height:1.65pt;mso-position-horizontal-relative:page;mso-position-vertical-relative:paragraph;z-index:15730688" id="docshape19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Proposition 65 Business </w:t>
      </w:r>
      <w:r>
        <w:rPr>
          <w:color w:val="6E6158"/>
        </w:rPr>
        <w:t>Litigation</w:t>
      </w:r>
    </w:p>
    <w:p>
      <w:pPr>
        <w:pStyle w:val="Heading1"/>
        <w:spacing w:before="167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7"/>
        <w:ind w:left="356"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152904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759pt;width:1.65pt;height:1.65pt;mso-position-horizontal-relative:page;mso-position-vertical-relative:paragraph;z-index:15731200" id="docshape2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 numerous companies that sell products to consumers regarding Proposition </w:t>
      </w:r>
      <w:r>
        <w:rPr>
          <w:color w:val="6E6158"/>
        </w:rPr>
        <w:t>65 compliance and defense of claims.</w:t>
      </w:r>
    </w:p>
    <w:p>
      <w:pPr>
        <w:pStyle w:val="BodyText"/>
        <w:spacing w:line="302" w:lineRule="auto" w:before="123"/>
        <w:ind w:left="356"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137842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3731pt;width:1.65pt;height:1.65pt;mso-position-horizontal-relative:page;mso-position-vertical-relative:paragraph;z-index:15731712" id="docshape2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 numerous companies that manufacture regulated products for sale to </w:t>
      </w:r>
      <w:r>
        <w:rPr>
          <w:color w:val="6E6158"/>
        </w:rPr>
        <w:t>consumers</w:t>
      </w:r>
      <w:r>
        <w:rPr>
          <w:color w:val="6E6158"/>
          <w:spacing w:val="40"/>
        </w:rPr>
        <w:t> </w:t>
      </w:r>
      <w:r>
        <w:rPr>
          <w:color w:val="6E6158"/>
        </w:rPr>
        <w:t>regarding</w:t>
      </w:r>
      <w:r>
        <w:rPr>
          <w:color w:val="6E6158"/>
          <w:spacing w:val="40"/>
        </w:rPr>
        <w:t> </w:t>
      </w:r>
      <w:r>
        <w:rPr>
          <w:color w:val="6E6158"/>
        </w:rPr>
        <w:t>advertising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regulatory</w:t>
      </w:r>
      <w:r>
        <w:rPr>
          <w:color w:val="6E6158"/>
          <w:spacing w:val="40"/>
        </w:rPr>
        <w:t>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40"/>
        </w:rPr>
        <w:t> </w:t>
      </w:r>
      <w:r>
        <w:rPr>
          <w:color w:val="6E6158"/>
        </w:rPr>
        <w:t>law.</w:t>
      </w:r>
    </w:p>
    <w:p>
      <w:pPr>
        <w:pStyle w:val="BodyText"/>
        <w:spacing w:line="292" w:lineRule="auto" w:before="113"/>
        <w:ind w:left="356" w:right="4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131353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2763pt;width:1.65pt;height:1.65pt;mso-position-horizontal-relative:page;mso-position-vertical-relative:paragraph;z-index:15732224" id="docshape22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 public entities and private entities in contract disputes over real estate, land </w:t>
      </w:r>
      <w:r>
        <w:rPr>
          <w:color w:val="6E6158"/>
        </w:rPr>
        <w:t>use,</w:t>
      </w:r>
      <w:r>
        <w:rPr>
          <w:color w:val="6E6158"/>
          <w:spacing w:val="40"/>
        </w:rPr>
        <w:t> </w:t>
      </w:r>
      <w:r>
        <w:rPr>
          <w:color w:val="6E6158"/>
        </w:rPr>
        <w:t>construction, general commercial operations and contracts of insurance.</w:t>
      </w:r>
    </w:p>
    <w:p>
      <w:pPr>
        <w:pStyle w:val="BodyText"/>
        <w:spacing w:line="302" w:lineRule="auto" w:before="123"/>
        <w:ind w:left="356"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137880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6737pt;width:1.65pt;height:1.65pt;mso-position-horizontal-relative:page;mso-position-vertical-relative:paragraph;z-index:15732736" id="docshape23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 Trustees and personal representatives of beneficiaries of substantial estates in </w:t>
      </w:r>
      <w:r>
        <w:rPr>
          <w:color w:val="6E6158"/>
        </w:rPr>
        <w:t>all types of fiduciary issue disputes.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131391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5769pt;width:1.65pt;height:1.65pt;mso-position-horizontal-relative:page;mso-position-vertical-relative:paragraph;z-index:15733248" id="docshape24" coordorigin="1675,207" coordsize="33,33" path="m1696,239l1687,239,1683,238,1676,232,1675,228,1675,219,1676,215,1683,209,1687,207,1696,207,1699,209,1706,215,1707,219,1707,223,1707,228,1706,232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Focus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problem</w:t>
      </w:r>
      <w:r>
        <w:rPr>
          <w:color w:val="6E6158"/>
          <w:spacing w:val="12"/>
        </w:rPr>
        <w:t> </w:t>
      </w:r>
      <w:r>
        <w:rPr>
          <w:color w:val="6E6158"/>
        </w:rPr>
        <w:t>solving</w:t>
      </w:r>
      <w:r>
        <w:rPr>
          <w:color w:val="6E6158"/>
          <w:spacing w:val="12"/>
        </w:rPr>
        <w:t> </w:t>
      </w:r>
      <w:r>
        <w:rPr>
          <w:color w:val="6E6158"/>
        </w:rPr>
        <w:t>rather</w:t>
      </w:r>
      <w:r>
        <w:rPr>
          <w:color w:val="6E6158"/>
          <w:spacing w:val="12"/>
        </w:rPr>
        <w:t> </w:t>
      </w:r>
      <w:r>
        <w:rPr>
          <w:color w:val="6E6158"/>
        </w:rPr>
        <w:t>than</w:t>
      </w:r>
      <w:r>
        <w:rPr>
          <w:color w:val="6E6158"/>
          <w:spacing w:val="12"/>
        </w:rPr>
        <w:t> </w:t>
      </w:r>
      <w:r>
        <w:rPr>
          <w:color w:val="6E6158"/>
        </w:rPr>
        <w:t>problem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creation.</w:t>
      </w:r>
    </w:p>
    <w:p>
      <w:pPr>
        <w:pStyle w:val="BodyText"/>
        <w:spacing w:line="292" w:lineRule="auto" w:before="174"/>
        <w:ind w:left="356"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170076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1812pt;width:1.65pt;height:1.65pt;mso-position-horizontal-relative:page;mso-position-vertical-relative:paragraph;z-index:15733760" id="docshape25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Often called upon to represent shareholders, officers and directors of closely held agricultural,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40"/>
        </w:rPr>
        <w:t> </w:t>
      </w:r>
      <w:r>
        <w:rPr>
          <w:color w:val="6E6158"/>
        </w:rPr>
        <w:t>estate,</w:t>
      </w:r>
      <w:r>
        <w:rPr>
          <w:color w:val="6E6158"/>
          <w:spacing w:val="40"/>
        </w:rPr>
        <w:t> </w:t>
      </w:r>
      <w:r>
        <w:rPr>
          <w:color w:val="6E6158"/>
        </w:rPr>
        <w:t>manufacturing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technology</w:t>
      </w:r>
      <w:r>
        <w:rPr>
          <w:color w:val="6E6158"/>
          <w:spacing w:val="40"/>
        </w:rPr>
        <w:t> </w:t>
      </w:r>
      <w:r>
        <w:rPr>
          <w:color w:val="6E6158"/>
        </w:rPr>
        <w:t>companies</w:t>
      </w:r>
      <w:r>
        <w:rPr>
          <w:color w:val="6E6158"/>
          <w:spacing w:val="40"/>
        </w:rPr>
        <w:t> </w:t>
      </w:r>
      <w:r>
        <w:rPr>
          <w:color w:val="6E6158"/>
        </w:rPr>
        <w:t>that</w:t>
      </w:r>
      <w:r>
        <w:rPr>
          <w:color w:val="6E6158"/>
          <w:spacing w:val="40"/>
        </w:rPr>
        <w:t> </w:t>
      </w:r>
      <w:r>
        <w:rPr>
          <w:color w:val="6E6158"/>
        </w:rPr>
        <w:t>have</w:t>
      </w:r>
      <w:r>
        <w:rPr>
          <w:color w:val="6E6158"/>
          <w:spacing w:val="40"/>
        </w:rPr>
        <w:t> </w:t>
      </w:r>
      <w:r>
        <w:rPr>
          <w:color w:val="6E6158"/>
        </w:rPr>
        <w:t>internal</w:t>
      </w:r>
      <w:r>
        <w:rPr>
          <w:color w:val="6E6158"/>
          <w:spacing w:val="40"/>
        </w:rPr>
        <w:t> </w:t>
      </w:r>
      <w:r>
        <w:rPr>
          <w:color w:val="6E6158"/>
        </w:rPr>
        <w:t>conflicts.</w:t>
      </w:r>
    </w:p>
    <w:p>
      <w:pPr>
        <w:pStyle w:val="BodyText"/>
        <w:spacing w:line="292" w:lineRule="auto" w:before="131"/>
        <w:ind w:left="356"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143035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2661pt;width:1.65pt;height:1.65pt;mso-position-horizontal-relative:page;mso-position-vertical-relative:paragraph;z-index:15734272" id="docshape2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Bankruptcy Trustees in actions against debtors, officers, directors and other professionals for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misconduct.</w:t>
      </w:r>
    </w:p>
    <w:p>
      <w:pPr>
        <w:pStyle w:val="BodyText"/>
        <w:spacing w:line="302" w:lineRule="auto" w:before="124"/>
        <w:ind w:left="356"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138133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6635pt;width:1.65pt;height:1.65pt;mso-position-horizontal-relative:page;mso-position-vertical-relative:paragraph;z-index:15734784" id="docshape27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Manufacturing Companies against entities who have damaged them through </w:t>
      </w:r>
      <w:r>
        <w:rPr>
          <w:color w:val="6E6158"/>
        </w:rPr>
        <w:t>unfair competition, patent infringement, and trade secret theft.</w:t>
      </w:r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408" w:lineRule="auto" w:before="136"/>
        <w:ind w:left="356" w:right="156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152546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524pt;width:1.65pt;height:1.65pt;mso-position-horizontal-relative:page;mso-position-vertical-relative:paragraph;z-index:15735296" id="docshape2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410911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5274pt;width:1.65pt;height:1.65pt;mso-position-horizontal-relative:page;mso-position-vertical-relative:paragraph;z-index:15735808" id="docshape29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 2004, 2009, 2012, 2013, and 2016 – </w:t>
      </w:r>
      <w:r>
        <w:rPr>
          <w:color w:val="6E6158"/>
          <w:sz w:val="19"/>
        </w:rPr>
        <w:t>2018 AV® Preeminent™ Peer Review Rated by Martindale Hubbell</w:t>
      </w:r>
    </w:p>
    <w:p>
      <w:pPr>
        <w:pStyle w:val="Heading1"/>
        <w:spacing w:before="17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5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157573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395pt;width:1.65pt;height:1.65pt;mso-position-horizontal-relative:page;mso-position-vertical-relative:paragraph;z-index:15736320" id="docshape30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“The</w:t>
      </w:r>
      <w:r>
        <w:rPr>
          <w:color w:val="6E6158"/>
          <w:spacing w:val="9"/>
        </w:rPr>
        <w:t> </w:t>
      </w:r>
      <w:r>
        <w:rPr>
          <w:color w:val="6E6158"/>
        </w:rPr>
        <w:t>NFL</w:t>
      </w:r>
      <w:r>
        <w:rPr>
          <w:color w:val="6E6158"/>
          <w:spacing w:val="9"/>
        </w:rPr>
        <w:t> </w:t>
      </w:r>
      <w:r>
        <w:rPr>
          <w:color w:val="6E6158"/>
        </w:rPr>
        <w:t>Is</w:t>
      </w:r>
      <w:r>
        <w:rPr>
          <w:color w:val="6E6158"/>
          <w:spacing w:val="9"/>
        </w:rPr>
        <w:t> </w:t>
      </w:r>
      <w:r>
        <w:rPr>
          <w:color w:val="6E6158"/>
        </w:rPr>
        <w:t>Not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Sport,</w:t>
      </w:r>
      <w:r>
        <w:rPr>
          <w:color w:val="6E6158"/>
          <w:spacing w:val="8"/>
        </w:rPr>
        <w:t> </w:t>
      </w:r>
      <w:r>
        <w:rPr>
          <w:color w:val="6E6158"/>
        </w:rPr>
        <w:t>It’s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Business,”</w:t>
      </w:r>
      <w:r>
        <w:rPr>
          <w:color w:val="6E6158"/>
          <w:spacing w:val="9"/>
        </w:rPr>
        <w:t> </w:t>
      </w:r>
      <w:r>
        <w:rPr>
          <w:color w:val="6E6158"/>
        </w:rPr>
        <w:t>Daily</w:t>
      </w:r>
      <w:r>
        <w:rPr>
          <w:color w:val="6E6158"/>
          <w:spacing w:val="9"/>
        </w:rPr>
        <w:t> </w:t>
      </w:r>
      <w:r>
        <w:rPr>
          <w:color w:val="6E6158"/>
        </w:rPr>
        <w:t>Journal,</w:t>
      </w:r>
      <w:r>
        <w:rPr>
          <w:color w:val="6E6158"/>
          <w:spacing w:val="9"/>
        </w:rPr>
        <w:t> </w:t>
      </w:r>
      <w:r>
        <w:rPr>
          <w:color w:val="6E6158"/>
        </w:rPr>
        <w:t>December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2013</w:t>
      </w:r>
    </w:p>
    <w:p>
      <w:pPr>
        <w:pStyle w:val="BodyText"/>
        <w:spacing w:line="420" w:lineRule="auto" w:before="174"/>
        <w:ind w:left="356" w:right="4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170223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44pt;width:1.65pt;height:1.65pt;mso-position-horizontal-relative:page;mso-position-vertical-relative:paragraph;z-index:15736832" id="docshape3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428589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7189pt;width:1.65pt;height:1.65pt;mso-position-horizontal-relative:page;mso-position-vertical-relative:paragraph;z-index:15737344" id="docshape32" coordorigin="1675,675" coordsize="33,33" path="m1696,707l1687,707,1683,706,1676,700,1675,696,1675,687,1676,683,1683,677,1687,675,1696,675,1699,677,1706,683,1707,687,1707,691,1707,696,1706,700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Quest For Contractual Certainty,” Wendel Rosen Client Update, January </w:t>
      </w:r>
      <w:r>
        <w:rPr>
          <w:color w:val="6E6158"/>
        </w:rPr>
        <w:t>2013 Author, “Interfering With Inheritance,” WealthManagement.com, August 2012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152651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829pt;width:1.65pt;height:1.65pt;mso-position-horizontal-relative:page;mso-position-vertical-relative:paragraph;z-index:15737856" id="docshape3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Judge</w:t>
      </w:r>
      <w:r>
        <w:rPr>
          <w:color w:val="6E6158"/>
          <w:spacing w:val="11"/>
        </w:rPr>
        <w:t> </w:t>
      </w:r>
      <w:r>
        <w:rPr>
          <w:color w:val="6E6158"/>
        </w:rPr>
        <w:t>Pro</w:t>
      </w:r>
      <w:r>
        <w:rPr>
          <w:color w:val="6E6158"/>
          <w:spacing w:val="11"/>
        </w:rPr>
        <w:t> </w:t>
      </w:r>
      <w:r>
        <w:rPr>
          <w:color w:val="6E6158"/>
        </w:rPr>
        <w:t>Tempore,</w:t>
      </w:r>
      <w:r>
        <w:rPr>
          <w:color w:val="6E6158"/>
          <w:spacing w:val="12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Francisco</w:t>
      </w:r>
      <w:r>
        <w:rPr>
          <w:color w:val="6E6158"/>
          <w:spacing w:val="11"/>
        </w:rPr>
        <w:t> </w:t>
      </w:r>
      <w:r>
        <w:rPr>
          <w:color w:val="6E6158"/>
        </w:rPr>
        <w:t>Superior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line="292" w:lineRule="auto" w:before="182"/>
        <w:ind w:left="356"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174913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748pt;width:1.65pt;height:1.65pt;mso-position-horizontal-relative:page;mso-position-vertical-relative:paragraph;z-index:15738368" id="docshape3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Settlement Conference Commissioner, Volunteer Settlement Project, San </w:t>
      </w:r>
      <w:r>
        <w:rPr>
          <w:color w:val="6E6158"/>
        </w:rPr>
        <w:t>Francisco Superior Court</w:t>
      </w:r>
    </w:p>
    <w:p>
      <w:pPr>
        <w:pStyle w:val="BodyText"/>
        <w:spacing w:line="420" w:lineRule="auto" w:before="123"/>
        <w:ind w:left="356" w:right="45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137626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6721pt;width:1.65pt;height:1.65pt;mso-position-horizontal-relative:page;mso-position-vertical-relative:paragraph;z-index:15738880" id="docshape35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395991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18047pt;width:1.65pt;height:1.65pt;mso-position-horizontal-relative:page;mso-position-vertical-relative:paragraph;z-index:15739392" id="docshape36" coordorigin="1675,624" coordsize="33,33" path="m1696,656l1687,656,1683,655,1676,648,1675,644,1675,635,1676,632,1683,625,1687,624,1696,624,1699,625,1706,632,1707,635,1707,640,1707,644,1706,648,1699,655,1696,6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Arbitrator, Marin County Superior </w:t>
      </w:r>
      <w:r>
        <w:rPr>
          <w:color w:val="6E6158"/>
        </w:rPr>
        <w:t>Court Delegate, State Bar of California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left="356" w:right="1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9904" id="docshape3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373974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38pt;width:1.65pt;height:1.65pt;mso-position-horizontal-relative:page;mso-position-vertical-relative:paragraph;z-index:15740416" id="docshape38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Committee on Administration of Justice, State Bar of </w:t>
      </w:r>
      <w:r>
        <w:rPr>
          <w:color w:val="6E6158"/>
        </w:rPr>
        <w:t>California Member, Bar Association of San Francisco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495pt;width:1.65pt;height:1.65pt;mso-position-horizontal-relative:page;mso-position-vertical-relative:paragraph;z-index:15740928" id="docshape39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152644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272pt;width:1.65pt;height:1.65pt;mso-position-horizontal-relative:page;mso-position-vertical-relative:paragraph;z-index:15741440" id="docshape4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169739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316pt;width:1.65pt;height:1.65pt;mso-position-horizontal-relative:page;mso-position-vertical-relative:paragraph;z-index:15741952" id="docshape41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All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Federal</w:t>
      </w:r>
      <w:r>
        <w:rPr>
          <w:color w:val="6E6158"/>
          <w:spacing w:val="8"/>
        </w:rPr>
        <w:t> </w:t>
      </w:r>
      <w:r>
        <w:rPr>
          <w:color w:val="6E6158"/>
        </w:rPr>
        <w:t>Courts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7"/>
      <w:ind w:left="10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drapaport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2024-12-04T08:44:20Z</dcterms:created>
  <dcterms:modified xsi:type="dcterms:W3CDTF">2024-12-04T08:44:20Z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