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310" w:right="30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DOUGLAS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YOUMANS</w:t>
                              </w:r>
                            </w:p>
                            <w:p>
                              <w:pPr>
                                <w:spacing w:before="48"/>
                                <w:ind w:left="310" w:right="31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310" w:right="31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10" w:right="31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2117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916.920.5286</w:t>
                              </w:r>
                            </w:p>
                            <w:p>
                              <w:pPr>
                                <w:spacing w:before="119"/>
                                <w:ind w:left="310" w:right="31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dyoumans@fennemorelaw.com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310" w:right="30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DOUGLAS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YOUMANS</w:t>
                        </w:r>
                      </w:p>
                      <w:p>
                        <w:pPr>
                          <w:spacing w:before="48"/>
                          <w:ind w:left="310" w:right="31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310" w:right="31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310" w:right="31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  <w:p>
                        <w:pPr>
                          <w:tabs>
                            <w:tab w:pos="2117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916.920.5286</w:t>
                        </w:r>
                      </w:p>
                      <w:p>
                        <w:pPr>
                          <w:spacing w:before="119"/>
                          <w:ind w:left="310" w:right="31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dyoumans@fennemorelaw.com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DOUGLAS</w:t>
      </w:r>
      <w:r>
        <w:rPr>
          <w:color w:val="FF8100"/>
          <w:spacing w:val="7"/>
        </w:rPr>
        <w:t> </w:t>
      </w:r>
      <w:r>
        <w:rPr>
          <w:color w:val="FF8100"/>
        </w:rPr>
        <w:t>L.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YOUMANS</w:t>
      </w:r>
    </w:p>
    <w:p>
      <w:pPr>
        <w:pStyle w:val="BodyText"/>
        <w:spacing w:line="295" w:lineRule="auto" w:before="147"/>
        <w:ind w:left="104" w:right="729"/>
      </w:pPr>
      <w:r>
        <w:rPr>
          <w:color w:val="6E6158"/>
        </w:rPr>
        <w:t>Douglas Youmans, with over 40 years of experience, practices in business, estate, real estate,</w:t>
      </w:r>
      <w:r>
        <w:rPr>
          <w:color w:val="6E6158"/>
          <w:spacing w:val="40"/>
        </w:rPr>
        <w:t> </w:t>
      </w:r>
      <w:r>
        <w:rPr>
          <w:color w:val="6E6158"/>
        </w:rPr>
        <w:t>and tax planning and controversy work. His practice is designed to offer comprehensive legal</w:t>
      </w:r>
      <w:r>
        <w:rPr>
          <w:color w:val="6E6158"/>
          <w:spacing w:val="40"/>
        </w:rPr>
        <w:t> </w:t>
      </w:r>
      <w:r>
        <w:rPr>
          <w:color w:val="6E6158"/>
        </w:rPr>
        <w:t>solutions, catering to the multifaceted needs of individuals, executives, and business owners</w:t>
      </w:r>
      <w:r>
        <w:rPr>
          <w:color w:val="6E6158"/>
          <w:spacing w:val="40"/>
        </w:rPr>
        <w:t> </w:t>
      </w:r>
      <w:r>
        <w:rPr>
          <w:color w:val="6E6158"/>
        </w:rPr>
        <w:t>navigating the legal system. This integrated approach ensures clients receive thorough legal</w:t>
      </w:r>
      <w:r>
        <w:rPr>
          <w:color w:val="6E6158"/>
          <w:spacing w:val="40"/>
        </w:rPr>
        <w:t> </w:t>
      </w:r>
      <w:r>
        <w:rPr>
          <w:color w:val="6E6158"/>
        </w:rPr>
        <w:t>advice,</w:t>
      </w:r>
      <w:r>
        <w:rPr>
          <w:color w:val="6E6158"/>
          <w:spacing w:val="37"/>
        </w:rPr>
        <w:t> </w:t>
      </w:r>
      <w:r>
        <w:rPr>
          <w:color w:val="6E6158"/>
        </w:rPr>
        <w:t>covering</w:t>
      </w:r>
      <w:r>
        <w:rPr>
          <w:color w:val="6E6158"/>
          <w:spacing w:val="37"/>
        </w:rPr>
        <w:t> </w:t>
      </w:r>
      <w:r>
        <w:rPr>
          <w:color w:val="6E6158"/>
        </w:rPr>
        <w:t>various</w:t>
      </w:r>
      <w:r>
        <w:rPr>
          <w:color w:val="6E6158"/>
          <w:spacing w:val="37"/>
        </w:rPr>
        <w:t> </w:t>
      </w:r>
      <w:r>
        <w:rPr>
          <w:color w:val="6E6158"/>
        </w:rPr>
        <w:t>aspects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their</w:t>
      </w:r>
      <w:r>
        <w:rPr>
          <w:color w:val="6E6158"/>
          <w:spacing w:val="37"/>
        </w:rPr>
        <w:t> </w:t>
      </w:r>
      <w:r>
        <w:rPr>
          <w:color w:val="6E6158"/>
        </w:rPr>
        <w:t>professional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personal</w:t>
      </w:r>
      <w:r>
        <w:rPr>
          <w:color w:val="6E6158"/>
          <w:spacing w:val="37"/>
        </w:rPr>
        <w:t> </w:t>
      </w:r>
      <w:r>
        <w:rPr>
          <w:color w:val="6E6158"/>
        </w:rPr>
        <w:t>legal</w:t>
      </w:r>
      <w:r>
        <w:rPr>
          <w:color w:val="6E6158"/>
          <w:spacing w:val="37"/>
        </w:rPr>
        <w:t> </w:t>
      </w:r>
      <w:r>
        <w:rPr>
          <w:color w:val="6E6158"/>
        </w:rPr>
        <w:t>requirements.</w:t>
      </w:r>
    </w:p>
    <w:p>
      <w:pPr>
        <w:pStyle w:val="BodyText"/>
        <w:spacing w:before="203"/>
        <w:ind w:left="104"/>
      </w:pP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addition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directly</w:t>
      </w:r>
      <w:r>
        <w:rPr>
          <w:color w:val="6E6158"/>
          <w:spacing w:val="12"/>
        </w:rPr>
        <w:t> </w:t>
      </w:r>
      <w:r>
        <w:rPr>
          <w:color w:val="6E6158"/>
        </w:rPr>
        <w:t>serving</w:t>
      </w:r>
      <w:r>
        <w:rPr>
          <w:color w:val="6E6158"/>
          <w:spacing w:val="11"/>
        </w:rPr>
        <w:t> </w:t>
      </w:r>
      <w:r>
        <w:rPr>
          <w:color w:val="6E6158"/>
        </w:rPr>
        <w:t>clients,</w:t>
      </w:r>
      <w:r>
        <w:rPr>
          <w:color w:val="6E6158"/>
          <w:spacing w:val="12"/>
        </w:rPr>
        <w:t> </w:t>
      </w:r>
      <w:r>
        <w:rPr>
          <w:color w:val="6E6158"/>
        </w:rPr>
        <w:t>Douglas</w:t>
      </w:r>
      <w:r>
        <w:rPr>
          <w:color w:val="6E6158"/>
          <w:spacing w:val="11"/>
        </w:rPr>
        <w:t> </w:t>
      </w:r>
      <w:r>
        <w:rPr>
          <w:color w:val="6E6158"/>
        </w:rPr>
        <w:t>offers</w:t>
      </w:r>
      <w:r>
        <w:rPr>
          <w:color w:val="6E6158"/>
          <w:spacing w:val="12"/>
        </w:rPr>
        <w:t> </w:t>
      </w:r>
      <w:r>
        <w:rPr>
          <w:color w:val="6E6158"/>
        </w:rPr>
        <w:t>legal</w:t>
      </w:r>
      <w:r>
        <w:rPr>
          <w:color w:val="6E6158"/>
          <w:spacing w:val="11"/>
        </w:rPr>
        <w:t> </w:t>
      </w:r>
      <w:r>
        <w:rPr>
          <w:color w:val="6E6158"/>
        </w:rPr>
        <w:t>services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primary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attorneys,</w:t>
      </w:r>
    </w:p>
    <w:p>
      <w:pPr>
        <w:pStyle w:val="BodyText"/>
        <w:spacing w:line="292" w:lineRule="auto" w:before="52"/>
        <w:ind w:left="104" w:right="729"/>
      </w:pPr>
      <w:r>
        <w:rPr>
          <w:color w:val="6E6158"/>
        </w:rPr>
        <w:t>accountants, financial advisors, and other representatives. His proactive legal risk </w:t>
      </w:r>
      <w:r>
        <w:rPr>
          <w:color w:val="6E6158"/>
        </w:rPr>
        <w:t>management</w:t>
      </w:r>
      <w:r>
        <w:rPr>
          <w:color w:val="6E6158"/>
          <w:spacing w:val="40"/>
        </w:rPr>
        <w:t> </w:t>
      </w:r>
      <w:r>
        <w:rPr>
          <w:color w:val="6E6158"/>
        </w:rPr>
        <w:t>strategies are a cornerstone of his practice, aiming to foresee and mitigate legal issues before</w:t>
      </w:r>
      <w:r>
        <w:rPr>
          <w:color w:val="6E6158"/>
          <w:spacing w:val="40"/>
        </w:rPr>
        <w:t> </w:t>
      </w:r>
      <w:r>
        <w:rPr>
          <w:color w:val="6E6158"/>
        </w:rPr>
        <w:t>they</w:t>
      </w:r>
      <w:r>
        <w:rPr>
          <w:color w:val="6E6158"/>
          <w:spacing w:val="30"/>
        </w:rPr>
        <w:t> </w:t>
      </w:r>
      <w:r>
        <w:rPr>
          <w:color w:val="6E6158"/>
        </w:rPr>
        <w:t>arise,</w:t>
      </w:r>
      <w:r>
        <w:rPr>
          <w:color w:val="6E6158"/>
          <w:spacing w:val="30"/>
        </w:rPr>
        <w:t> </w:t>
      </w:r>
      <w:r>
        <w:rPr>
          <w:color w:val="6E6158"/>
        </w:rPr>
        <w:t>thus</w:t>
      </w:r>
      <w:r>
        <w:rPr>
          <w:color w:val="6E6158"/>
          <w:spacing w:val="30"/>
        </w:rPr>
        <w:t> </w:t>
      </w:r>
      <w:r>
        <w:rPr>
          <w:color w:val="6E6158"/>
        </w:rPr>
        <w:t>providing</w:t>
      </w:r>
      <w:r>
        <w:rPr>
          <w:color w:val="6E6158"/>
          <w:spacing w:val="30"/>
        </w:rPr>
        <w:t> </w:t>
      </w:r>
      <w:r>
        <w:rPr>
          <w:color w:val="6E6158"/>
        </w:rPr>
        <w:t>clients</w:t>
      </w:r>
      <w:r>
        <w:rPr>
          <w:color w:val="6E6158"/>
          <w:spacing w:val="30"/>
        </w:rPr>
        <w:t> </w:t>
      </w:r>
      <w:r>
        <w:rPr>
          <w:color w:val="6E6158"/>
        </w:rPr>
        <w:t>with</w:t>
      </w:r>
      <w:r>
        <w:rPr>
          <w:color w:val="6E6158"/>
          <w:spacing w:val="30"/>
        </w:rPr>
        <w:t> </w:t>
      </w:r>
      <w:r>
        <w:rPr>
          <w:color w:val="6E6158"/>
        </w:rPr>
        <w:t>peace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mind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safeguarding</w:t>
      </w:r>
      <w:r>
        <w:rPr>
          <w:color w:val="6E6158"/>
          <w:spacing w:val="30"/>
        </w:rPr>
        <w:t> </w:t>
      </w:r>
      <w:r>
        <w:rPr>
          <w:color w:val="6E6158"/>
        </w:rPr>
        <w:t>their</w:t>
      </w:r>
      <w:r>
        <w:rPr>
          <w:color w:val="6E6158"/>
          <w:spacing w:val="30"/>
        </w:rPr>
        <w:t> </w:t>
      </w:r>
      <w:r>
        <w:rPr>
          <w:color w:val="6E6158"/>
        </w:rPr>
        <w:t>interests.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right="37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152693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133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411059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6882pt;width:1.65pt;height:1.65pt;mso-position-horizontal-relative:page;mso-position-vertical-relative:paragraph;z-index:15729664" id="docshape8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the Pacific, McGeorge School of </w:t>
      </w:r>
      <w:r>
        <w:rPr>
          <w:color w:val="6E6158"/>
        </w:rPr>
        <w:t>Law</w:t>
      </w:r>
      <w:r>
        <w:rPr>
          <w:color w:val="6E6158"/>
        </w:rPr>
        <w:t> M.B.A., Taxation, Golden Gate University</w:t>
      </w:r>
    </w:p>
    <w:p>
      <w:pPr>
        <w:spacing w:line="234" w:lineRule="exact" w:before="0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58339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3664pt;width:1.65pt;height:1.65pt;mso-position-horizontal-relative:page;mso-position-vertical-relative:paragraph;z-index:15730176" id="docshape9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Temple University,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46"/>
        <w:ind w:left="0"/>
        <w:rPr>
          <w:i/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2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197598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5.558958pt;width:1.65pt;height:1.65pt;mso-position-horizontal-relative:page;mso-position-vertical-relative:paragraph;z-index:15730688" id="docshape10" coordorigin="1675,311" coordsize="33,33" path="m1696,344l1687,344,1683,342,1676,336,1675,332,1675,323,1676,319,1683,313,1687,311,1696,311,1699,313,1706,319,1707,323,1707,327,1707,332,1706,336,1699,342,1696,3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10"/>
        </w:rPr>
        <w:t> </w:t>
      </w:r>
      <w:r>
        <w:rPr>
          <w:color w:val="6E6158"/>
        </w:rPr>
        <w:t>Planning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Controversy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Resolution</w:t>
      </w:r>
    </w:p>
    <w:p>
      <w:pPr>
        <w:pStyle w:val="BodyText"/>
        <w:spacing w:line="420" w:lineRule="auto" w:before="174"/>
        <w:ind w:right="43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170243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5003pt;width:1.65pt;height:1.65pt;mso-position-horizontal-relative:page;mso-position-vertical-relative:paragraph;z-index:15731200" id="docshape11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428609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48753pt;width:1.65pt;height:1.65pt;mso-position-horizontal-relative:page;mso-position-vertical-relative:paragraph;z-index:15731712" id="docshape12" coordorigin="1675,675" coordsize="33,33" path="m1696,708l1687,708,1683,706,1676,700,1675,696,1675,687,1676,683,1683,677,1687,675,1696,675,1699,677,1706,683,1707,687,1707,691,1707,696,1706,700,1699,706,1696,7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Planning, including Mergers &amp; </w:t>
      </w:r>
      <w:r>
        <w:rPr>
          <w:color w:val="6E6158"/>
        </w:rPr>
        <w:t>Acquisitions Trust Administration</w:t>
      </w:r>
    </w:p>
    <w:p>
      <w:pPr>
        <w:pStyle w:val="BodyText"/>
        <w:spacing w:line="422" w:lineRule="auto"/>
        <w:ind w:right="69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58744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5533pt;width:1.65pt;height:1.65pt;mso-position-horizontal-relative:page;mso-position-vertical-relative:paragraph;z-index:15732224" id="docshape13" coordorigin="1675,93" coordsize="33,33" path="m1696,125l1687,125,1683,123,1676,117,1675,113,1675,104,1676,100,1683,94,1687,93,1696,93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322277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6158pt;width:1.65pt;height:1.65pt;mso-position-horizontal-relative:page;mso-position-vertical-relative:paragraph;z-index:15732736" id="docshape14" coordorigin="1675,508" coordsize="33,33" path="m1696,540l1687,540,1683,538,1676,532,1675,528,1675,519,1676,515,1683,509,1687,508,1696,508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580642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19906pt;width:1.65pt;height:1.65pt;mso-position-horizontal-relative:page;mso-position-vertical-relative:paragraph;z-index:15733248" id="docshape15" coordorigin="1675,914" coordsize="33,33" path="m1696,947l1687,947,1683,945,1676,939,1675,935,1675,926,1676,922,1683,916,1687,914,1696,914,1699,916,1706,922,1707,926,1707,931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 Mergers &amp; </w:t>
      </w:r>
      <w:r>
        <w:rPr>
          <w:color w:val="6E6158"/>
        </w:rPr>
        <w:t>Acquisitions Real Estate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57959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63773pt;width:1.65pt;height:1.65pt;mso-position-horizontal-relative:page;mso-position-vertical-relative:paragraph;z-index:15733760" id="docshape16" coordorigin="1675,91" coordsize="33,33" path="m1696,124l1687,124,1683,122,1676,116,1675,112,1675,103,1676,99,1683,93,1687,91,1696,91,1699,93,1706,99,1707,103,1707,108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169183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21574pt;width:1.65pt;height:1.65pt;mso-position-horizontal-relative:page;mso-position-vertical-relative:paragraph;z-index:15734272" id="docshape17" coordorigin="1675,266" coordsize="33,33" path="m1696,299l1687,299,1683,297,1676,291,1675,287,1675,278,1676,274,1683,268,1687,266,1696,266,1699,268,1706,274,1707,278,1707,283,1707,287,1706,291,1699,297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4784" id="docshape1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21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5296" id="docshape1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spacing w:val="10"/>
        </w:rPr>
        <w:t> </w:t>
      </w:r>
      <w:r>
        <w:rPr>
          <w:color w:val="6E6158"/>
        </w:rPr>
        <w:t>Preeminent</w:t>
      </w:r>
      <w:r>
        <w:rPr>
          <w:color w:val="6E6158"/>
          <w:spacing w:val="10"/>
        </w:rPr>
        <w:t> </w:t>
      </w:r>
      <w:r>
        <w:rPr>
          <w:color w:val="6E6158"/>
        </w:rPr>
        <w:t>5.0</w:t>
      </w:r>
      <w:r>
        <w:rPr>
          <w:color w:val="6E6158"/>
          <w:spacing w:val="11"/>
        </w:rPr>
        <w:t> </w:t>
      </w:r>
      <w:r>
        <w:rPr>
          <w:color w:val="6E6158"/>
        </w:rPr>
        <w:t>Peer</w:t>
      </w:r>
      <w:r>
        <w:rPr>
          <w:color w:val="6E6158"/>
          <w:spacing w:val="10"/>
        </w:rPr>
        <w:t> </w:t>
      </w:r>
      <w:r>
        <w:rPr>
          <w:color w:val="6E6158"/>
        </w:rPr>
        <w:t>Review</w:t>
      </w:r>
      <w:r>
        <w:rPr>
          <w:color w:val="6E6158"/>
          <w:spacing w:val="10"/>
        </w:rPr>
        <w:t> </w:t>
      </w:r>
      <w:r>
        <w:rPr>
          <w:color w:val="6E6158"/>
        </w:rPr>
        <w:t>Rated</w:t>
      </w:r>
      <w:r>
        <w:rPr>
          <w:color w:val="6E6158"/>
          <w:spacing w:val="11"/>
        </w:rPr>
        <w:t> </w:t>
      </w:r>
      <w:r>
        <w:rPr>
          <w:color w:val="6E6158"/>
        </w:rPr>
        <w:t>by</w:t>
      </w:r>
      <w:r>
        <w:rPr>
          <w:color w:val="6E6158"/>
          <w:spacing w:val="10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line="292" w:lineRule="auto" w:before="182"/>
        <w:ind w:right="6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175194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831pt;width:1.65pt;height:1.65pt;mso-position-horizontal-relative:page;mso-position-vertical-relative:paragraph;z-index:15735808" id="docshape20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 of the 2015 V Judson Klein award, which the Tax Section of the California State Bar</w:t>
      </w:r>
      <w:r>
        <w:rPr>
          <w:color w:val="6E6158"/>
          <w:spacing w:val="40"/>
        </w:rPr>
        <w:t> </w:t>
      </w:r>
      <w:r>
        <w:rPr>
          <w:color w:val="6E6158"/>
        </w:rPr>
        <w:t>awards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distinguished</w:t>
      </w:r>
      <w:r>
        <w:rPr>
          <w:color w:val="6E6158"/>
          <w:spacing w:val="29"/>
        </w:rPr>
        <w:t> </w:t>
      </w:r>
      <w:r>
        <w:rPr>
          <w:color w:val="6E6158"/>
        </w:rPr>
        <w:t>attorney,</w:t>
      </w:r>
      <w:r>
        <w:rPr>
          <w:color w:val="6E6158"/>
          <w:spacing w:val="29"/>
        </w:rPr>
        <w:t> </w:t>
      </w:r>
      <w:r>
        <w:rPr>
          <w:color w:val="6E6158"/>
        </w:rPr>
        <w:t>based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their</w:t>
      </w:r>
      <w:r>
        <w:rPr>
          <w:color w:val="6E6158"/>
          <w:spacing w:val="29"/>
        </w:rPr>
        <w:t> </w:t>
      </w:r>
      <w:r>
        <w:rPr>
          <w:color w:val="6E6158"/>
        </w:rPr>
        <w:t>achievements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service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Bar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137906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8805pt;width:1.65pt;height:1.65pt;mso-position-horizontal-relative:page;mso-position-vertical-relative:paragraph;z-index:15736320" id="docshape21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Named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Northern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Super</w:t>
      </w:r>
      <w:r>
        <w:rPr>
          <w:color w:val="6E6158"/>
          <w:spacing w:val="13"/>
        </w:rPr>
        <w:t> </w:t>
      </w:r>
      <w:r>
        <w:rPr>
          <w:color w:val="6E6158"/>
        </w:rPr>
        <w:t>Lawyer</w:t>
      </w:r>
      <w:r>
        <w:rPr>
          <w:color w:val="6E6158"/>
          <w:spacing w:val="13"/>
        </w:rPr>
        <w:t> </w:t>
      </w:r>
      <w:r>
        <w:rPr>
          <w:color w:val="6E6158"/>
        </w:rPr>
        <w:t>multiple</w:t>
      </w:r>
      <w:r>
        <w:rPr>
          <w:color w:val="6E6158"/>
          <w:spacing w:val="13"/>
        </w:rPr>
        <w:t> </w:t>
      </w:r>
      <w:r>
        <w:rPr>
          <w:color w:val="6E6158"/>
        </w:rPr>
        <w:t>years</w:t>
      </w:r>
      <w:r>
        <w:rPr>
          <w:color w:val="6E6158"/>
          <w:spacing w:val="13"/>
        </w:rPr>
        <w:t> </w:t>
      </w:r>
      <w:r>
        <w:rPr>
          <w:color w:val="6E6158"/>
        </w:rPr>
        <w:t>since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158047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691pt;width:1.65pt;height:1.65pt;mso-position-horizontal-relative:page;mso-position-vertical-relative:paragraph;z-index:15736832" id="docshape22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170062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0735pt;width:1.65pt;height:1.65pt;mso-position-horizontal-relative:page;mso-position-vertical-relative:paragraph;z-index:15737344" id="docshape23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</w:t>
      </w:r>
      <w:r>
        <w:rPr>
          <w:color w:val="6E6158"/>
          <w:spacing w:val="10"/>
        </w:rPr>
        <w:t> </w:t>
      </w:r>
      <w:r>
        <w:rPr>
          <w:color w:val="6E6158"/>
        </w:rPr>
        <w:t>Executive</w:t>
      </w:r>
      <w:r>
        <w:rPr>
          <w:color w:val="6E6158"/>
          <w:spacing w:val="10"/>
        </w:rPr>
        <w:t> </w:t>
      </w:r>
      <w:r>
        <w:rPr>
          <w:color w:val="6E6158"/>
        </w:rPr>
        <w:t>Committee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Taxation</w:t>
      </w:r>
      <w:r>
        <w:rPr>
          <w:color w:val="6E6158"/>
          <w:spacing w:val="10"/>
        </w:rPr>
        <w:t> </w:t>
      </w:r>
      <w:r>
        <w:rPr>
          <w:color w:val="6E6158"/>
        </w:rPr>
        <w:t>Section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California,</w:t>
      </w:r>
      <w:r>
        <w:rPr>
          <w:color w:val="6E6158"/>
          <w:spacing w:val="10"/>
        </w:rPr>
        <w:t> </w:t>
      </w:r>
      <w:r>
        <w:rPr>
          <w:color w:val="6E6158"/>
        </w:rPr>
        <w:t>2012-</w:t>
      </w:r>
      <w:r>
        <w:rPr>
          <w:color w:val="6E6158"/>
          <w:spacing w:val="-4"/>
        </w:rPr>
        <w:t>2013</w:t>
      </w:r>
    </w:p>
    <w:p>
      <w:pPr>
        <w:pStyle w:val="BodyText"/>
        <w:spacing w:line="292" w:lineRule="auto" w:before="174"/>
        <w:ind w:right="7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170012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6779pt;width:1.65pt;height:1.65pt;mso-position-horizontal-relative:page;mso-position-vertical-relative:paragraph;z-index:15737856" id="docshape24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 of the Corporations and other Business Entities Committee of the State Bar of California</w:t>
      </w:r>
      <w:r>
        <w:rPr>
          <w:color w:val="6E6158"/>
          <w:spacing w:val="40"/>
        </w:rPr>
        <w:t> </w:t>
      </w:r>
      <w:r>
        <w:rPr>
          <w:color w:val="6E6158"/>
        </w:rPr>
        <w:t>Taxation Section</w:t>
      </w:r>
    </w:p>
    <w:p>
      <w:pPr>
        <w:pStyle w:val="BodyText"/>
        <w:spacing w:line="420" w:lineRule="auto" w:before="131"/>
        <w:ind w:right="10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142971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7627pt;width:1.65pt;height:1.65pt;mso-position-horizontal-relative:page;mso-position-vertical-relative:paragraph;z-index:15738368" id="docshape2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401337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1377pt;width:1.65pt;height:1.65pt;mso-position-horizontal-relative:page;mso-position-vertical-relative:paragraph;z-index:15738880" id="docshape26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California Probate, Practice Management and Tax Sections Member, American Bar Association</w:t>
      </w:r>
    </w:p>
    <w:p>
      <w:pPr>
        <w:pStyle w:val="BodyText"/>
        <w:spacing w:line="422" w:lineRule="auto"/>
        <w:ind w:right="43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58777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8158pt;width:1.65pt;height:1.65pt;mso-position-horizontal-relative:page;mso-position-vertical-relative:paragraph;z-index:15739392" id="docshape27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317143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71907pt;width:1.65pt;height:1.65pt;mso-position-horizontal-relative:page;mso-position-vertical-relative:paragraph;z-index:15739904" id="docshape28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580676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2253pt;width:1.65pt;height:1.65pt;mso-position-horizontal-relative:page;mso-position-vertical-relative:paragraph;z-index:15740416" id="docshape29" coordorigin="1675,914" coordsize="33,33" path="m1696,947l1687,947,1683,945,1676,939,1675,935,1675,926,1676,922,1683,916,1687,914,1696,914,1699,916,1706,922,1707,926,1707,931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839041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066284pt;width:1.65pt;height:1.65pt;mso-position-horizontal-relative:page;mso-position-vertical-relative:paragraph;z-index:15740928" id="docshape30" coordorigin="1675,1321" coordsize="33,33" path="m1696,1354l1687,1354,1683,1352,1676,1346,1675,1342,1675,1333,1676,1329,1683,1323,1687,1321,1696,1321,1699,1323,1706,1329,1707,1333,1707,1338,1707,1342,1706,1346,1699,1352,1696,13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Sacramento County Bar Association Member, Society of California Accountants </w:t>
      </w:r>
      <w:r>
        <w:rPr>
          <w:color w:val="6E6158"/>
        </w:rPr>
        <w:t>(SCA) Member, California Society of CPAs (CALCPA) Member, American Institute of CPAs (AICPA)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56009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410186pt;width:1.65pt;height:1.65pt;mso-position-horizontal-relative:page;mso-position-vertical-relative:paragraph;z-index:15741440" id="docshape31" coordorigin="1675,88" coordsize="33,33" path="m1696,121l1687,121,1683,119,1676,113,1675,109,1675,100,1676,96,1683,90,1687,88,1696,88,1699,90,1706,96,1707,100,1707,104,1707,109,1706,113,1699,119,1696,1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 and paper presenter for several of the California State Bar Taxation Section’s Annual</w:t>
      </w:r>
      <w:r>
        <w:rPr>
          <w:color w:val="6E6158"/>
          <w:spacing w:val="40"/>
        </w:rPr>
        <w:t> </w:t>
      </w:r>
      <w:r>
        <w:rPr>
          <w:color w:val="6E6158"/>
        </w:rPr>
        <w:t>delegations to Washington D.C.</w:t>
      </w:r>
    </w:p>
    <w:p>
      <w:pPr>
        <w:pStyle w:val="BodyText"/>
        <w:spacing w:line="292" w:lineRule="auto" w:before="126"/>
        <w:ind w:right="1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139459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81034pt;width:1.65pt;height:1.65pt;mso-position-horizontal-relative:page;mso-position-vertical-relative:paragraph;z-index:15741952" id="docshape32" coordorigin="1675,220" coordsize="33,33" path="m1696,252l1687,252,1683,251,1676,244,1675,240,1675,231,1676,228,1683,221,1687,220,1696,220,1699,221,1706,228,1707,231,1707,236,1707,240,1706,244,1699,251,16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Charter Member and Former Chair, Internal Revenue Service Sacramento District </w:t>
      </w:r>
      <w:r>
        <w:rPr>
          <w:color w:val="6E6158"/>
        </w:rPr>
        <w:t>Practitioners Liaison Committee</w:t>
      </w:r>
    </w:p>
    <w:p>
      <w:pPr>
        <w:pStyle w:val="BodyText"/>
        <w:spacing w:line="427" w:lineRule="auto" w:before="123"/>
        <w:ind w:right="37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137731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5008pt;width:1.65pt;height:1.65pt;mso-position-horizontal-relative:page;mso-position-vertical-relative:paragraph;z-index:15742464" id="docshape33" coordorigin="1675,217" coordsize="33,33" path="m1696,249l1687,249,1683,248,1676,242,1675,238,1675,229,1676,225,1683,218,1687,217,1696,217,1699,218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401264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5633pt;width:1.65pt;height:1.65pt;mso-position-horizontal-relative:page;mso-position-vertical-relative:paragraph;z-index:15742976" id="docshape34" coordorigin="1675,632" coordsize="33,33" path="m1696,664l1687,664,1683,663,1676,657,1675,653,1675,644,1676,640,1683,634,1687,632,1696,632,1699,634,1706,640,1707,644,1707,648,1707,653,1706,657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Charter Member, Franchise Tax Board Advisory </w:t>
      </w:r>
      <w:r>
        <w:rPr>
          <w:color w:val="6E6158"/>
        </w:rPr>
        <w:t>Group Adjunct Professor, Golden Gate University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54909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3551pt;width:1.65pt;height:1.65pt;mso-position-horizontal-relative:page;mso-position-vertical-relative:paragraph;z-index:15743488" id="docshape35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</w:t>
      </w:r>
      <w:r>
        <w:rPr>
          <w:color w:val="6E6158"/>
          <w:spacing w:val="11"/>
        </w:rPr>
        <w:t> </w:t>
      </w:r>
      <w:r>
        <w:rPr>
          <w:color w:val="6E6158"/>
        </w:rPr>
        <w:t>Professor,</w:t>
      </w:r>
      <w:r>
        <w:rPr>
          <w:color w:val="6E6158"/>
          <w:spacing w:val="12"/>
        </w:rPr>
        <w:t> </w:t>
      </w:r>
      <w:r>
        <w:rPr>
          <w:color w:val="6E6158"/>
        </w:rPr>
        <w:t>Sacramento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152705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033pt;width:1.65pt;height:1.65pt;mso-position-horizontal-relative:page;mso-position-vertical-relative:paragraph;z-index:15744000" id="docshape3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Bar</w:t>
      </w:r>
      <w:r>
        <w:rPr>
          <w:color w:val="6E6158"/>
          <w:spacing w:val="14"/>
        </w:rPr>
        <w:t> </w:t>
      </w:r>
      <w:r>
        <w:rPr>
          <w:color w:val="6E6158"/>
        </w:rPr>
        <w:t>(Certified</w:t>
      </w:r>
      <w:r>
        <w:rPr>
          <w:color w:val="6E6158"/>
          <w:spacing w:val="14"/>
        </w:rPr>
        <w:t> </w:t>
      </w:r>
      <w:r>
        <w:rPr>
          <w:color w:val="6E6158"/>
        </w:rPr>
        <w:t>Specialist,</w:t>
      </w:r>
      <w:r>
        <w:rPr>
          <w:color w:val="6E6158"/>
          <w:spacing w:val="14"/>
        </w:rPr>
        <w:t> </w:t>
      </w:r>
      <w:r>
        <w:rPr>
          <w:color w:val="6E6158"/>
        </w:rPr>
        <w:t>Taxation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Law)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169799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0077pt;width:1.65pt;height:1.65pt;mso-position-horizontal-relative:page;mso-position-vertical-relative:paragraph;z-index:15744512" id="docshape3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174917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996pt;width:1.65pt;height:1.65pt;mso-position-horizontal-relative:page;mso-position-vertical-relative:paragraph;z-index:15745024" id="docshape38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Courts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Seventh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169786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04pt;width:1.65pt;height:1.65pt;mso-position-horizontal-relative:page;mso-position-vertical-relative:paragraph;z-index:15745536" id="docshape39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169736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5085pt;width:1.65pt;height:1.65pt;mso-position-horizontal-relative:page;mso-position-vertical-relative:paragraph;z-index:15746048" id="docshape4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1"/>
      <w:ind w:left="104"/>
    </w:pPr>
    <w:rPr>
      <w:rFonts w:ascii="Century Gothic" w:hAnsi="Century Gothic" w:eastAsia="Century Gothic" w:cs="Century Gothic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dyouman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2024-12-04T08:30:02Z</dcterms:created>
  <dcterms:modified xsi:type="dcterms:W3CDTF">2024-12-04T08:30:02Z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