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2619" y="1369338"/>
                            <a:ext cx="183451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320675">
                                <a:moveTo>
                                  <a:pt x="18343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34388" y="320382"/>
                                </a:lnTo>
                                <a:lnTo>
                                  <a:pt x="1834388" y="315214"/>
                                </a:lnTo>
                                <a:close/>
                              </a:path>
                              <a:path w="1834514" h="320675">
                                <a:moveTo>
                                  <a:pt x="183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34388" y="5168"/>
                                </a:lnTo>
                                <a:lnTo>
                                  <a:pt x="183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1813" y="763308"/>
                            <a:ext cx="184912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P.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9"/>
                                </w:rPr>
                                <w:t>SAVITT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76148" y="1859626"/>
                            <a:ext cx="360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31813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693534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68782" y="2226505"/>
                            <a:ext cx="13747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jsavitt@fennemorelaw.com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53189" y="3482163"/>
                            <a:ext cx="337629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Thunder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thunder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impressive;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lightning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 work</w:t>
                              </w:r>
                            </w:p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Mark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Twain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839232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61;top:2716;width:2889;height:505" id="docshape6" coordorigin="7062,2716" coordsize="2889,505" path="m9951,3213l7062,3213,7062,3221,9951,3221,9951,3213xm9951,2716l7062,2716,7062,2725,9951,2725,995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60;top:1762;width:2912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P.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39"/>
                          </w:rPr>
                          <w:t>SAVITT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32;top:3488;width:56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60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</w:p>
                    </w:txbxContent>
                  </v:textbox>
                  <w10:wrap type="none"/>
                </v:shape>
                <v:shape style="position:absolute;left:8732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206.749.0600</w:t>
                        </w:r>
                      </w:p>
                    </w:txbxContent>
                  </v:textbox>
                  <w10:wrap type="none"/>
                </v:shape>
                <v:shape style="position:absolute;left:7433;top:4066;width:2165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jsavitt@fennemorelaw.com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72;top:6043;width:5317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Thunder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thunder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impressive;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lightning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 work</w:t>
                        </w:r>
                      </w:p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Mark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Twain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17"/>
        <w:ind w:left="0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JAMES</w:t>
      </w:r>
      <w:r>
        <w:rPr>
          <w:color w:val="FF8100"/>
          <w:spacing w:val="5"/>
        </w:rPr>
        <w:t> </w:t>
      </w:r>
      <w:r>
        <w:rPr>
          <w:color w:val="FF8100"/>
        </w:rPr>
        <w:t>P.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SAVITT</w:t>
      </w:r>
    </w:p>
    <w:p>
      <w:pPr>
        <w:pStyle w:val="BodyText"/>
        <w:spacing w:line="297" w:lineRule="auto" w:before="146"/>
        <w:ind w:left="104" w:right="181"/>
      </w:pPr>
      <w:r>
        <w:rPr>
          <w:color w:val="6E6158"/>
        </w:rPr>
        <w:t>Jim Savitt specializes in the trial and creative resolution of substantial disputes for a diverse client</w:t>
      </w:r>
      <w:r>
        <w:rPr>
          <w:color w:val="6E6158"/>
          <w:spacing w:val="40"/>
        </w:rPr>
        <w:t> </w:t>
      </w:r>
      <w:r>
        <w:rPr>
          <w:color w:val="6E6158"/>
        </w:rPr>
        <w:t>base, including Fortune 500 companies and major e-commerce firms. While much of his practice</w:t>
      </w:r>
      <w:r>
        <w:rPr>
          <w:color w:val="6E6158"/>
          <w:spacing w:val="40"/>
        </w:rPr>
        <w:t> </w:t>
      </w:r>
      <w:r>
        <w:rPr>
          <w:color w:val="6E6158"/>
        </w:rPr>
        <w:t>has focused on intellectual property, corporate, and commercial matters, Jim believes that</w:t>
      </w:r>
      <w:r>
        <w:rPr>
          <w:color w:val="6E6158"/>
          <w:spacing w:val="40"/>
        </w:rPr>
        <w:t> </w:t>
      </w:r>
      <w:r>
        <w:rPr>
          <w:color w:val="6E6158"/>
        </w:rPr>
        <w:t>knowing</w:t>
      </w:r>
      <w:r>
        <w:rPr>
          <w:color w:val="6E6158"/>
          <w:spacing w:val="23"/>
        </w:rPr>
        <w:t> </w:t>
      </w:r>
      <w:r>
        <w:rPr>
          <w:color w:val="6E6158"/>
        </w:rPr>
        <w:t>how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win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case</w:t>
      </w:r>
      <w:r>
        <w:rPr>
          <w:color w:val="6E6158"/>
          <w:spacing w:val="23"/>
        </w:rPr>
        <w:t> </w:t>
      </w:r>
      <w:r>
        <w:rPr>
          <w:color w:val="6E6158"/>
        </w:rPr>
        <w:t>–</w:t>
      </w:r>
      <w:r>
        <w:rPr>
          <w:color w:val="6E6158"/>
          <w:spacing w:val="23"/>
        </w:rPr>
        <w:t> </w:t>
      </w:r>
      <w:r>
        <w:rPr>
          <w:color w:val="6E6158"/>
        </w:rPr>
        <w:t>developing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executing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strategy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prevail</w:t>
      </w:r>
      <w:r>
        <w:rPr>
          <w:color w:val="6E6158"/>
          <w:spacing w:val="23"/>
        </w:rPr>
        <w:t> </w:t>
      </w:r>
      <w:r>
        <w:rPr>
          <w:color w:val="6E6158"/>
        </w:rPr>
        <w:t>by</w:t>
      </w:r>
      <w:r>
        <w:rPr>
          <w:color w:val="6E6158"/>
          <w:spacing w:val="23"/>
        </w:rPr>
        <w:t> </w:t>
      </w:r>
      <w:r>
        <w:rPr>
          <w:color w:val="6E6158"/>
        </w:rPr>
        <w:t>motion</w:t>
      </w:r>
      <w:r>
        <w:rPr>
          <w:color w:val="6E6158"/>
          <w:spacing w:val="23"/>
        </w:rPr>
        <w:t> </w:t>
      </w:r>
      <w:r>
        <w:rPr>
          <w:color w:val="6E6158"/>
        </w:rPr>
        <w:t>if possible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by</w:t>
      </w:r>
      <w:r>
        <w:rPr>
          <w:color w:val="6E6158"/>
          <w:spacing w:val="22"/>
        </w:rPr>
        <w:t> </w:t>
      </w:r>
      <w:r>
        <w:rPr>
          <w:color w:val="6E6158"/>
        </w:rPr>
        <w:t>trial</w:t>
      </w:r>
      <w:r>
        <w:rPr>
          <w:color w:val="6E6158"/>
          <w:spacing w:val="22"/>
        </w:rPr>
        <w:t> </w:t>
      </w:r>
      <w:r>
        <w:rPr>
          <w:color w:val="6E6158"/>
        </w:rPr>
        <w:t>if</w:t>
      </w:r>
      <w:r>
        <w:rPr>
          <w:color w:val="6E6158"/>
          <w:spacing w:val="22"/>
        </w:rPr>
        <w:t> </w:t>
      </w:r>
      <w:r>
        <w:rPr>
          <w:color w:val="6E6158"/>
        </w:rPr>
        <w:t>not</w:t>
      </w:r>
      <w:r>
        <w:rPr>
          <w:color w:val="6E6158"/>
          <w:spacing w:val="22"/>
        </w:rPr>
        <w:t> </w:t>
      </w:r>
      <w:r>
        <w:rPr>
          <w:color w:val="6E6158"/>
        </w:rPr>
        <w:t>–</w:t>
      </w:r>
      <w:r>
        <w:rPr>
          <w:color w:val="6E6158"/>
          <w:spacing w:val="22"/>
        </w:rPr>
        <w:t> </w:t>
      </w:r>
      <w:r>
        <w:rPr>
          <w:color w:val="6E6158"/>
        </w:rPr>
        <w:t>is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most</w:t>
      </w:r>
      <w:r>
        <w:rPr>
          <w:color w:val="6E6158"/>
          <w:spacing w:val="22"/>
        </w:rPr>
        <w:t> </w:t>
      </w:r>
      <w:r>
        <w:rPr>
          <w:color w:val="6E6158"/>
        </w:rPr>
        <w:t>important</w:t>
      </w:r>
      <w:r>
        <w:rPr>
          <w:color w:val="6E6158"/>
          <w:spacing w:val="22"/>
        </w:rPr>
        <w:t> </w:t>
      </w:r>
      <w:r>
        <w:rPr>
          <w:color w:val="6E6158"/>
        </w:rPr>
        <w:t>skill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lawyer</w:t>
      </w:r>
      <w:r>
        <w:rPr>
          <w:color w:val="6E6158"/>
          <w:spacing w:val="22"/>
        </w:rPr>
        <w:t> </w:t>
      </w:r>
      <w:r>
        <w:rPr>
          <w:color w:val="6E6158"/>
        </w:rPr>
        <w:t>handling</w:t>
      </w:r>
      <w:r>
        <w:rPr>
          <w:color w:val="6E6158"/>
          <w:spacing w:val="22"/>
        </w:rPr>
        <w:t> </w:t>
      </w:r>
      <w:r>
        <w:rPr>
          <w:color w:val="6E6158"/>
        </w:rPr>
        <w:t>complex</w:t>
      </w:r>
      <w:r>
        <w:rPr>
          <w:color w:val="6E6158"/>
          <w:spacing w:val="22"/>
        </w:rPr>
        <w:t> </w:t>
      </w:r>
      <w:r>
        <w:rPr>
          <w:color w:val="6E6158"/>
        </w:rPr>
        <w:t>litigation.</w:t>
      </w:r>
    </w:p>
    <w:p>
      <w:pPr>
        <w:pStyle w:val="BodyText"/>
        <w:spacing w:line="292" w:lineRule="auto" w:before="191"/>
        <w:ind w:left="104" w:right="181"/>
      </w:pPr>
      <w:r>
        <w:rPr>
          <w:color w:val="6E6158"/>
        </w:rPr>
        <w:t>Before joining Fennemore, Jim was a co-founder of Savitt Bruce &amp; Willey LLP, a highly regarded litigation boutique in Seattle, and previously was a partner in Perkins Coie. Jim began his career</w:t>
      </w:r>
      <w:r>
        <w:rPr>
          <w:color w:val="6E6158"/>
          <w:spacing w:val="40"/>
        </w:rPr>
        <w:t> </w:t>
      </w:r>
      <w:r>
        <w:rPr>
          <w:color w:val="6E6158"/>
        </w:rPr>
        <w:t>with Paul, Weiss, Rifkind, Wharton &amp; Garrison in New York City before finding his way to the Great Northwest. He is a graduate, </w:t>
      </w:r>
      <w:r>
        <w:rPr>
          <w:i/>
          <w:color w:val="6E6158"/>
          <w:sz w:val="20"/>
        </w:rPr>
        <w:t>magna cum laude</w:t>
      </w:r>
      <w:r>
        <w:rPr>
          <w:color w:val="6E6158"/>
        </w:rPr>
        <w:t>, of the Georgetown University Law Center.</w:t>
      </w:r>
    </w:p>
    <w:p>
      <w:pPr>
        <w:pStyle w:val="BodyText"/>
        <w:spacing w:before="191"/>
        <w:ind w:left="104"/>
      </w:pPr>
      <w:r>
        <w:rPr>
          <w:color w:val="6E6158"/>
        </w:rPr>
        <w:t>Outside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office,</w:t>
      </w:r>
      <w:r>
        <w:rPr>
          <w:color w:val="6E6158"/>
          <w:spacing w:val="11"/>
        </w:rPr>
        <w:t> </w:t>
      </w:r>
      <w:r>
        <w:rPr>
          <w:color w:val="6E6158"/>
        </w:rPr>
        <w:t>Jim</w:t>
      </w:r>
      <w:r>
        <w:rPr>
          <w:color w:val="6E6158"/>
          <w:spacing w:val="11"/>
        </w:rPr>
        <w:t> </w:t>
      </w:r>
      <w:r>
        <w:rPr>
          <w:color w:val="6E6158"/>
        </w:rPr>
        <w:t>served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Chairperson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Pike</w:t>
      </w:r>
      <w:r>
        <w:rPr>
          <w:color w:val="6E6158"/>
          <w:spacing w:val="11"/>
        </w:rPr>
        <w:t> </w:t>
      </w:r>
      <w:r>
        <w:rPr>
          <w:color w:val="6E6158"/>
        </w:rPr>
        <w:t>Place</w:t>
      </w:r>
      <w:r>
        <w:rPr>
          <w:color w:val="6E6158"/>
          <w:spacing w:val="11"/>
        </w:rPr>
        <w:t> </w:t>
      </w:r>
      <w:r>
        <w:rPr>
          <w:color w:val="6E6158"/>
        </w:rPr>
        <w:t>Market</w:t>
      </w:r>
      <w:r>
        <w:rPr>
          <w:color w:val="6E6158"/>
          <w:spacing w:val="11"/>
        </w:rPr>
        <w:t> </w:t>
      </w:r>
      <w:r>
        <w:rPr>
          <w:color w:val="6E6158"/>
        </w:rPr>
        <w:t>Preservation</w:t>
      </w:r>
      <w:r>
        <w:rPr>
          <w:color w:val="6E6158"/>
          <w:spacing w:val="11"/>
        </w:rPr>
        <w:t> </w:t>
      </w:r>
      <w:r>
        <w:rPr>
          <w:color w:val="6E6158"/>
          <w:spacing w:val="-10"/>
        </w:rPr>
        <w:t>&amp;</w:t>
      </w:r>
    </w:p>
    <w:p>
      <w:pPr>
        <w:pStyle w:val="BodyText"/>
        <w:spacing w:line="292" w:lineRule="auto" w:before="52"/>
        <w:ind w:left="104" w:right="181"/>
      </w:pPr>
      <w:r>
        <w:rPr>
          <w:color w:val="6E6158"/>
        </w:rPr>
        <w:t>Development Authority (which owns and operates Seattle’s famed Pike Place Market) and is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past President of the Federal Bar Association of the Western District of Washington.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152586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658pt;width:1.65pt;height:1.65pt;mso-position-horizontal-relative:page;mso-position-vertical-relative:paragraph;z-index:15729152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Georgetown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Center,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magna 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168880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7665pt;width:1.65pt;height:1.65pt;mso-position-horizontal-relative:page;mso-position-vertical-relative:paragraph;z-index:15729664" id="docshape16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Cornell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152738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677pt;width:1.65pt;height:1.65pt;mso-position-horizontal-relative:page;mso-position-vertical-relative:paragraph;z-index:15730176" id="docshape1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416271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302pt;width:1.65pt;height:1.65pt;mso-position-horizontal-relative:page;mso-position-vertical-relative:paragraph;z-index:15730688" id="docshape18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674637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1052pt;width:1.65pt;height:1.65pt;mso-position-horizontal-relative:page;mso-position-vertical-relative:paragraph;z-index:15731200" id="docshape19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 Cannabis Business</w:t>
      </w:r>
    </w:p>
    <w:p>
      <w:pPr>
        <w:pStyle w:val="BodyText"/>
        <w:spacing w:after="0" w:line="42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spacing w:line="295" w:lineRule="auto" w:before="137"/>
        <w:ind w:left="356" w:right="18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1712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pacing w:val="-2"/>
          <w:sz w:val="20"/>
        </w:rPr>
        <w:t>Pike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Place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Market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Preservation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&amp;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Development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Authority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v.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Pike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Place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Fish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Company.</w:t>
      </w:r>
      <w:r>
        <w:rPr>
          <w:b/>
          <w:i/>
          <w:color w:val="6E6158"/>
          <w:spacing w:val="-6"/>
          <w:sz w:val="20"/>
        </w:rPr>
        <w:t> </w:t>
      </w:r>
      <w:r>
        <w:rPr>
          <w:color w:val="6E6158"/>
          <w:spacing w:val="-2"/>
          <w:sz w:val="19"/>
        </w:rPr>
        <w:t>Action </w:t>
      </w:r>
      <w:r>
        <w:rPr>
          <w:color w:val="6E6158"/>
          <w:sz w:val="19"/>
        </w:rPr>
        <w:t>to enforce crucial trademark for Seattle’s most famous landmark and attraction; prepared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motion for preliminary injunction that enabled settlement in which defendant conceded our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client’s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trademark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rights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ownership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relinquished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its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disputed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marks.</w:t>
      </w:r>
    </w:p>
    <w:p>
      <w:pPr>
        <w:spacing w:line="288" w:lineRule="auto" w:before="108"/>
        <w:ind w:left="356" w:right="17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134518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1995pt;width:1.65pt;height:1.65pt;mso-position-horizontal-relative:page;mso-position-vertical-relative:paragraph;z-index:15732224" id="docshape21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Dental Health Services v. Miller. </w:t>
      </w:r>
      <w:r>
        <w:rPr>
          <w:color w:val="6E6158"/>
          <w:sz w:val="19"/>
        </w:rPr>
        <w:t>Defended departing executive against trade secret </w:t>
      </w:r>
      <w:r>
        <w:rPr>
          <w:color w:val="6E6158"/>
          <w:sz w:val="19"/>
        </w:rPr>
        <w:t>theft claims; obtained dismissal of all claims with prejudice following discovery.</w:t>
      </w:r>
    </w:p>
    <w:p>
      <w:pPr>
        <w:pStyle w:val="BodyText"/>
        <w:spacing w:line="292" w:lineRule="auto" w:before="126"/>
        <w:ind w:right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145962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3108pt;width:1.65pt;height:1.65pt;mso-position-horizontal-relative:page;mso-position-vertical-relative:paragraph;z-index:15732736" id="docshape22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Move Inc. (Realtor.com) v. Zillow. </w:t>
      </w:r>
      <w:r>
        <w:rPr>
          <w:color w:val="6E6158"/>
        </w:rPr>
        <w:t>Defended senior executive against misappropriation </w:t>
      </w:r>
      <w:r>
        <w:rPr>
          <w:color w:val="6E6158"/>
        </w:rPr>
        <w:t>claims in largest trade secret action brought in Washington; defended client in muti-week spoliation</w:t>
      </w:r>
      <w:r>
        <w:rPr>
          <w:color w:val="6E6158"/>
          <w:spacing w:val="40"/>
        </w:rPr>
        <w:t> </w:t>
      </w:r>
      <w:r>
        <w:rPr>
          <w:color w:val="6E6158"/>
        </w:rPr>
        <w:t>trial, obtained summary judgment on purported trade secret document, and then 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settlement.</w:t>
      </w:r>
    </w:p>
    <w:p>
      <w:pPr>
        <w:pStyle w:val="BodyText"/>
        <w:spacing w:line="295" w:lineRule="auto" w:before="118"/>
        <w:ind w:right="3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140676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76899pt;width:1.65pt;height:1.65pt;mso-position-horizontal-relative:page;mso-position-vertical-relative:paragraph;z-index:15733248" id="docshape23" coordorigin="1675,222" coordsize="33,33" path="m1696,254l1687,254,1683,252,1676,246,1675,242,1675,233,1676,229,1683,223,1687,222,1696,222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Quackenbush v. Lehua USA.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Prosecuted trade secret theft and trademark infringement claims for major cannabis industry player, and defended against employment and defamation claims; obtained preliminary injunction ordering the immediate return of intellectual</w:t>
      </w:r>
      <w:r>
        <w:rPr>
          <w:color w:val="6E6158"/>
          <w:spacing w:val="14"/>
        </w:rPr>
        <w:t> </w:t>
      </w:r>
      <w:r>
        <w:rPr>
          <w:color w:val="6E6158"/>
        </w:rPr>
        <w:t>property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equipment,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cessation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use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client</w:t>
      </w:r>
      <w:r>
        <w:rPr>
          <w:color w:val="6E6158"/>
          <w:spacing w:val="14"/>
        </w:rPr>
        <w:t> </w:t>
      </w:r>
      <w:r>
        <w:rPr>
          <w:color w:val="6E6158"/>
        </w:rPr>
        <w:t>trade</w:t>
      </w:r>
      <w:r>
        <w:rPr>
          <w:color w:val="6E6158"/>
          <w:spacing w:val="14"/>
        </w:rPr>
        <w:t> </w:t>
      </w:r>
      <w:r>
        <w:rPr>
          <w:color w:val="6E6158"/>
        </w:rPr>
        <w:t>secrets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</w:pPr>
      <w:r>
        <w:rPr>
          <w:color w:val="6E6158"/>
        </w:rPr>
        <w:t>trademarks, and then a permanent injunction against trade secret or trademark use and the</w:t>
      </w:r>
      <w:r>
        <w:rPr>
          <w:color w:val="6E6158"/>
          <w:spacing w:val="40"/>
        </w:rPr>
        <w:t> </w:t>
      </w:r>
      <w:r>
        <w:rPr>
          <w:color w:val="6E6158"/>
        </w:rPr>
        <w:t>dismissal of all claims against our clients.</w:t>
      </w:r>
    </w:p>
    <w:p>
      <w:pPr>
        <w:pStyle w:val="BodyText"/>
        <w:spacing w:line="295" w:lineRule="auto" w:before="109"/>
        <w:ind w:right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135248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49501pt;width:1.65pt;height:1.65pt;mso-position-horizontal-relative:page;mso-position-vertical-relative:paragraph;z-index:15733760" id="docshape24" coordorigin="1675,213" coordsize="33,33" path="m1696,246l1687,246,1683,244,1676,238,1675,234,1675,225,1676,221,1683,215,1687,213,1696,213,1699,215,1706,221,1707,225,1707,229,1707,234,1706,238,1699,244,1696,2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Alliance Packaging v. Altivity Packaging, et al. </w:t>
      </w:r>
      <w:r>
        <w:rPr>
          <w:color w:val="6E6158"/>
        </w:rPr>
        <w:t>Prosecuted patent infringement claims relating to retail product packaging; prevailed at Markman hearing, defeated </w:t>
      </w:r>
      <w:r>
        <w:rPr>
          <w:color w:val="6E6158"/>
        </w:rPr>
        <w:t>defendant’s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motions and prevailed on motions for partial summary judgment and</w:t>
      </w:r>
      <w:r>
        <w:rPr>
          <w:color w:val="6E6158"/>
          <w:spacing w:val="40"/>
        </w:rPr>
        <w:t> </w:t>
      </w:r>
      <w:r>
        <w:rPr>
          <w:color w:val="6E6158"/>
        </w:rPr>
        <w:t>motions dismissing counterclaims, and then obtained favorable settlement.</w:t>
      </w:r>
    </w:p>
    <w:p>
      <w:pPr>
        <w:spacing w:line="297" w:lineRule="auto" w:before="10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134762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11254pt;width:1.65pt;height:1.65pt;mso-position-horizontal-relative:page;mso-position-vertical-relative:paragraph;z-index:15734272" id="docshape25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Straitshot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Communications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Telekenex,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Inc..</w:t>
      </w:r>
      <w:r>
        <w:rPr>
          <w:b/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Prosecuted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corporation’s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trade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secret misappropriation,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tortious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interference,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Consumer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Protection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Act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violations,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breach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of</w:t>
      </w:r>
    </w:p>
    <w:p>
      <w:pPr>
        <w:pStyle w:val="BodyText"/>
        <w:spacing w:line="228" w:lineRule="exact"/>
      </w:pP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</w:rPr>
        <w:t>agreements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duty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loyalty;</w:t>
      </w:r>
      <w:r>
        <w:rPr>
          <w:color w:val="6E6158"/>
          <w:spacing w:val="14"/>
        </w:rPr>
        <w:t> </w:t>
      </w:r>
      <w:r>
        <w:rPr>
          <w:color w:val="6E6158"/>
        </w:rPr>
        <w:t>obtained</w:t>
      </w:r>
      <w:r>
        <w:rPr>
          <w:color w:val="6E6158"/>
          <w:spacing w:val="13"/>
        </w:rPr>
        <w:t> </w:t>
      </w:r>
      <w:r>
        <w:rPr>
          <w:color w:val="6E6158"/>
        </w:rPr>
        <w:t>mutil-million</w:t>
      </w:r>
      <w:r>
        <w:rPr>
          <w:color w:val="6E6158"/>
          <w:spacing w:val="13"/>
        </w:rPr>
        <w:t> </w:t>
      </w:r>
      <w:r>
        <w:rPr>
          <w:color w:val="6E6158"/>
        </w:rPr>
        <w:t>judgment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4"/>
        </w:rPr>
        <w:t> </w:t>
      </w:r>
      <w:r>
        <w:rPr>
          <w:color w:val="6E6158"/>
        </w:rPr>
        <w:t>jury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trial.</w:t>
      </w:r>
    </w:p>
    <w:p>
      <w:pPr>
        <w:pStyle w:val="BodyText"/>
        <w:spacing w:line="295" w:lineRule="auto" w:before="164"/>
        <w:ind w:right="46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170235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369pt;width:1.65pt;height:1.65pt;mso-position-horizontal-relative:page;mso-position-vertical-relative:paragraph;z-index:15734784" id="docshape2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Amazon v. Expedia. </w:t>
      </w:r>
      <w:r>
        <w:rPr>
          <w:color w:val="6E6158"/>
        </w:rPr>
        <w:t>Defended claims and prosecuted counterclaims for breach of linking and co-branding agreement between national e-commerce giants; defeated motions </w:t>
      </w:r>
      <w:r>
        <w:rPr>
          <w:color w:val="6E6158"/>
        </w:rPr>
        <w:t>for summary</w:t>
      </w:r>
      <w:r>
        <w:rPr>
          <w:color w:val="6E6158"/>
          <w:spacing w:val="40"/>
        </w:rPr>
        <w:t> </w:t>
      </w:r>
      <w:r>
        <w:rPr>
          <w:color w:val="6E6158"/>
        </w:rPr>
        <w:t>judgment,</w:t>
      </w:r>
      <w:r>
        <w:rPr>
          <w:color w:val="6E6158"/>
          <w:spacing w:val="40"/>
        </w:rPr>
        <w:t> </w:t>
      </w:r>
      <w:r>
        <w:rPr>
          <w:color w:val="6E6158"/>
        </w:rPr>
        <w:t>developed</w:t>
      </w:r>
      <w:r>
        <w:rPr>
          <w:color w:val="6E6158"/>
          <w:spacing w:val="40"/>
        </w:rPr>
        <w:t> </w:t>
      </w:r>
      <w:r>
        <w:rPr>
          <w:color w:val="6E6158"/>
        </w:rPr>
        <w:t>counterclaims,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then</w:t>
      </w:r>
      <w:r>
        <w:rPr>
          <w:color w:val="6E6158"/>
          <w:spacing w:val="40"/>
        </w:rPr>
        <w:t> </w:t>
      </w:r>
      <w:r>
        <w:rPr>
          <w:color w:val="6E6158"/>
        </w:rPr>
        <w:t>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</w:t>
      </w:r>
      <w:r>
        <w:rPr>
          <w:color w:val="6E6158"/>
          <w:spacing w:val="40"/>
        </w:rPr>
        <w:t> </w:t>
      </w:r>
      <w:r>
        <w:rPr>
          <w:color w:val="6E6158"/>
        </w:rPr>
        <w:t>settlement.</w:t>
      </w:r>
    </w:p>
    <w:p>
      <w:pPr>
        <w:pStyle w:val="BodyText"/>
        <w:spacing w:line="295" w:lineRule="auto" w:before="110"/>
        <w:ind w:right="3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135917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02175pt;width:1.65pt;height:1.65pt;mso-position-horizontal-relative:page;mso-position-vertical-relative:paragraph;z-index:15735296" id="docshape27" coordorigin="1675,214" coordsize="33,33" path="m1696,247l1687,247,1683,245,1676,239,1675,235,1675,226,1676,222,1683,216,1687,214,1696,214,1699,216,1706,222,1707,226,1707,230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Moomjy v. HQ Sustainable Maritime Inc. </w:t>
      </w:r>
      <w:r>
        <w:rPr>
          <w:color w:val="6E6158"/>
        </w:rPr>
        <w:t>Defended class action against public offering underwriters alleging claims under sections 11 and 12 of Securities Act; brought motion to</w:t>
      </w:r>
      <w:r>
        <w:rPr>
          <w:color w:val="6E6158"/>
          <w:spacing w:val="40"/>
        </w:rPr>
        <w:t> </w:t>
      </w:r>
      <w:r>
        <w:rPr>
          <w:color w:val="6E6158"/>
        </w:rPr>
        <w:t>dismiss and then obtained favorable settlement dismissing all claims against clients </w:t>
      </w:r>
      <w:r>
        <w:rPr>
          <w:color w:val="6E6158"/>
        </w:rPr>
        <w:t>without</w:t>
      </w:r>
      <w:r>
        <w:rPr>
          <w:color w:val="6E6158"/>
          <w:spacing w:val="40"/>
        </w:rPr>
        <w:t> </w:t>
      </w:r>
      <w:r>
        <w:rPr>
          <w:color w:val="6E6158"/>
        </w:rPr>
        <w:t>any payment on claims.</w:t>
      </w:r>
    </w:p>
    <w:p>
      <w:pPr>
        <w:pStyle w:val="BodyText"/>
        <w:spacing w:before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134796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13928pt;width:1.65pt;height:1.65pt;mso-position-horizontal-relative:page;mso-position-vertical-relative:paragraph;z-index:15735808" id="docshape28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Weld</w:t>
      </w:r>
      <w:r>
        <w:rPr>
          <w:b/>
          <w:i/>
          <w:color w:val="6E6158"/>
          <w:spacing w:val="2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2"/>
          <w:sz w:val="20"/>
        </w:rPr>
        <w:t> </w:t>
      </w:r>
      <w:r>
        <w:rPr>
          <w:b/>
          <w:i/>
          <w:color w:val="6E6158"/>
          <w:sz w:val="20"/>
        </w:rPr>
        <w:t>Dawson.</w:t>
      </w:r>
      <w:r>
        <w:rPr>
          <w:b/>
          <w:i/>
          <w:color w:val="6E6158"/>
          <w:spacing w:val="2"/>
          <w:sz w:val="20"/>
        </w:rPr>
        <w:t> </w:t>
      </w:r>
      <w:r>
        <w:rPr>
          <w:color w:val="6E6158"/>
        </w:rPr>
        <w:t>Defended</w:t>
      </w:r>
      <w:r>
        <w:rPr>
          <w:color w:val="6E6158"/>
          <w:spacing w:val="6"/>
        </w:rPr>
        <w:t> </w:t>
      </w:r>
      <w:r>
        <w:rPr>
          <w:color w:val="6E6158"/>
        </w:rPr>
        <w:t>claims</w:t>
      </w:r>
      <w:r>
        <w:rPr>
          <w:color w:val="6E6158"/>
          <w:spacing w:val="5"/>
        </w:rPr>
        <w:t> </w:t>
      </w:r>
      <w:r>
        <w:rPr>
          <w:color w:val="6E6158"/>
        </w:rPr>
        <w:t>for</w:t>
      </w:r>
      <w:r>
        <w:rPr>
          <w:color w:val="6E6158"/>
          <w:spacing w:val="5"/>
        </w:rPr>
        <w:t> </w:t>
      </w:r>
      <w:r>
        <w:rPr>
          <w:color w:val="6E6158"/>
        </w:rPr>
        <w:t>breach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fiduciary</w:t>
      </w:r>
      <w:r>
        <w:rPr>
          <w:color w:val="6E6158"/>
          <w:spacing w:val="5"/>
        </w:rPr>
        <w:t> </w:t>
      </w:r>
      <w:r>
        <w:rPr>
          <w:color w:val="6E6158"/>
        </w:rPr>
        <w:t>duty,</w:t>
      </w:r>
      <w:r>
        <w:rPr>
          <w:color w:val="6E6158"/>
          <w:spacing w:val="5"/>
        </w:rPr>
        <w:t> </w:t>
      </w:r>
      <w:r>
        <w:rPr>
          <w:color w:val="6E6158"/>
        </w:rPr>
        <w:t>minority</w:t>
      </w:r>
      <w:r>
        <w:rPr>
          <w:color w:val="6E6158"/>
          <w:spacing w:val="5"/>
        </w:rPr>
        <w:t> </w:t>
      </w:r>
      <w:r>
        <w:rPr>
          <w:color w:val="6E6158"/>
          <w:spacing w:val="-2"/>
        </w:rPr>
        <w:t>shareholder</w:t>
      </w:r>
    </w:p>
    <w:p>
      <w:pPr>
        <w:pStyle w:val="BodyText"/>
        <w:spacing w:line="302" w:lineRule="auto" w:before="50"/>
        <w:ind w:right="186"/>
        <w:jc w:val="both"/>
      </w:pPr>
      <w:r>
        <w:rPr>
          <w:color w:val="6E6158"/>
        </w:rPr>
        <w:t>oppression, and violations of Blue Sky laws against senior corporate officer; obtained </w:t>
      </w:r>
      <w:r>
        <w:rPr>
          <w:color w:val="6E6158"/>
        </w:rPr>
        <w:t>dismissal</w:t>
      </w:r>
      <w:r>
        <w:rPr>
          <w:color w:val="6E6158"/>
          <w:spacing w:val="80"/>
        </w:rPr>
        <w:t> </w:t>
      </w:r>
      <w:r>
        <w:rPr>
          <w:color w:val="6E6158"/>
        </w:rPr>
        <w:t>of all claims against client on motion to dismiss.</w:t>
      </w:r>
    </w:p>
    <w:p>
      <w:pPr>
        <w:pStyle w:val="BodyText"/>
        <w:spacing w:line="295" w:lineRule="auto" w:before="103"/>
        <w:ind w:right="12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131227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2842pt;width:1.65pt;height:1.65pt;mso-position-horizontal-relative:page;mso-position-vertical-relative:paragraph;z-index:15736320" id="docshape29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Garrett v. Swedish Health Services. </w:t>
      </w:r>
      <w:r>
        <w:rPr>
          <w:color w:val="6E6158"/>
        </w:rPr>
        <w:t>Defended group of physicians against claims for breach of fiduciary duty and contractual obligations arising out of joint venture; obtained dismissal of all claims against client by summary judgment and also favorable settlement from co-</w:t>
      </w:r>
      <w:r>
        <w:rPr>
          <w:color w:val="6E6158"/>
        </w:rPr>
        <w:t>defendant on affirmative claims.</w:t>
      </w:r>
    </w:p>
    <w:p>
      <w:pPr>
        <w:pStyle w:val="BodyText"/>
        <w:spacing w:line="295" w:lineRule="auto" w:before="108"/>
        <w:ind w:right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134551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4595pt;width:1.65pt;height:1.65pt;mso-position-horizontal-relative:page;mso-position-vertical-relative:paragraph;z-index:15736832" id="docshape30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Bank One v. Westar Financial Services. </w:t>
      </w:r>
      <w:r>
        <w:rPr>
          <w:color w:val="6E6158"/>
        </w:rPr>
        <w:t>Defended breach of contract and lender liability claims relating to multi-billion dollar auto lease securitization portfolios, and prosecuted</w:t>
      </w:r>
      <w:r>
        <w:rPr>
          <w:color w:val="6E6158"/>
          <w:spacing w:val="40"/>
        </w:rPr>
        <w:t> </w:t>
      </w:r>
      <w:r>
        <w:rPr>
          <w:color w:val="6E6158"/>
        </w:rPr>
        <w:t>counterclaims for securities fraud and breach of contract; obtained preliminary </w:t>
      </w:r>
      <w:r>
        <w:rPr>
          <w:color w:val="6E6158"/>
        </w:rPr>
        <w:t>injunction, obtained dismissal of all claims against bank by summary judgment, and then 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 on counterclaims.</w:t>
      </w:r>
    </w:p>
    <w:p>
      <w:pPr>
        <w:spacing w:line="297" w:lineRule="auto"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133607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20295pt;width:1.65pt;height:1.65pt;mso-position-horizontal-relative:page;mso-position-vertical-relative:paragraph;z-index:15737344" id="docshape31" coordorigin="1675,210" coordsize="33,33" path="m1696,243l1687,243,1683,241,1676,235,1675,231,1675,222,1676,218,1683,212,1687,210,1696,210,1699,212,1706,218,1707,222,1707,227,1707,231,1706,235,1699,241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Stilwell Value Partners v. First Financial Northwest. </w:t>
      </w:r>
      <w:r>
        <w:rPr>
          <w:color w:val="6E6158"/>
          <w:sz w:val="19"/>
        </w:rPr>
        <w:t>Defended claims against inspector of elections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alleging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improprieties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election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following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proxy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fight;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obtained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summary</w:t>
      </w:r>
    </w:p>
    <w:p>
      <w:pPr>
        <w:spacing w:after="0" w:line="297" w:lineRule="auto"/>
        <w:jc w:val="left"/>
        <w:rPr>
          <w:sz w:val="19"/>
        </w:rPr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  <w:ind w:right="181"/>
      </w:pPr>
      <w:r>
        <w:rPr>
          <w:color w:val="6E6158"/>
        </w:rPr>
        <w:t>judgment dismissing key elements of claims, and then dismissal of all claims with prejudice as</w:t>
      </w:r>
      <w:r>
        <w:rPr>
          <w:color w:val="6E6158"/>
          <w:spacing w:val="40"/>
        </w:rPr>
        <w:t> </w:t>
      </w:r>
      <w:r>
        <w:rPr>
          <w:color w:val="6E6158"/>
        </w:rPr>
        <w:t>part of favorable settlement involving no concessions from client.</w:t>
      </w:r>
    </w:p>
    <w:p>
      <w:pPr>
        <w:pStyle w:val="BodyText"/>
        <w:spacing w:line="292" w:lineRule="auto"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37856" id="docshape3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Investigations regarding Washington Mutual Bank. </w:t>
      </w:r>
      <w:r>
        <w:rPr>
          <w:color w:val="6E6158"/>
        </w:rPr>
        <w:t>Represented former Washington Mutual officers in regard to investigations by FDIC, United States Attorney, and United States Senate</w:t>
      </w:r>
      <w:r>
        <w:rPr>
          <w:color w:val="6E6158"/>
          <w:spacing w:val="40"/>
        </w:rPr>
        <w:t> </w:t>
      </w:r>
      <w:r>
        <w:rPr>
          <w:color w:val="6E6158"/>
        </w:rPr>
        <w:t>Permanent Subcommittee on Investigations regarding failure of Washington Mutual Bank,</w:t>
      </w:r>
      <w:r>
        <w:rPr>
          <w:color w:val="6E6158"/>
          <w:spacing w:val="40"/>
        </w:rPr>
        <w:t> </w:t>
      </w:r>
      <w:r>
        <w:rPr>
          <w:color w:val="6E6158"/>
        </w:rPr>
        <w:t>including testimony before United States Senate subcommittee.</w:t>
      </w:r>
    </w:p>
    <w:p>
      <w:pPr>
        <w:pStyle w:val="Heading1"/>
        <w:spacing w:before="16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3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152405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463pt;width:1.65pt;height:1.65pt;mso-position-horizontal-relative:page;mso-position-vertical-relative:paragraph;z-index:15738368" id="docshape3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Statutes of Limitation: Washington, Practical Law</w:t>
        </w:r>
      </w:hyperlink>
      <w:r>
        <w:rPr>
          <w:color w:val="6E6158"/>
        </w:rPr>
        <w:t>,” Thomson Reuters, January </w:t>
      </w:r>
      <w:r>
        <w:rPr>
          <w:color w:val="6E6158"/>
        </w:rPr>
        <w:t>7,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137978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4435pt;width:1.65pt;height:1.65pt;mso-position-horizontal-relative:page;mso-position-vertical-relative:paragraph;z-index:15738880" id="docshape3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“Finessing the Fine Print: Agreements to Arbitrate and Covenants not to </w:t>
      </w:r>
      <w:r>
        <w:rPr>
          <w:color w:val="6E6158"/>
        </w:rPr>
        <w:t>Compete,” Washington Association of Corporate Counsel, 2014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142688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284pt;width:1.65pt;height:1.65pt;mso-position-horizontal-relative:page;mso-position-vertical-relative:paragraph;z-index:15739392" id="docshape35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“Covering Your Bases: Practical Tips to Deal with and Avoid Litigation,” Washington Association of Corporate Counsel, 2013</w:t>
      </w:r>
    </w:p>
    <w:p>
      <w:pPr>
        <w:pStyle w:val="BodyText"/>
        <w:spacing w:line="302" w:lineRule="auto" w:before="123"/>
        <w:ind w:right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137785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257pt;width:1.65pt;height:1.65pt;mso-position-horizontal-relative:page;mso-position-vertical-relative:paragraph;z-index:15739904" id="docshape3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 and Presenter, “Annual Federal Practice CLE,” Federal Bar Association of the Western District of Washington, 2005-2007</w:t>
      </w:r>
    </w:p>
    <w:p>
      <w:pPr>
        <w:pStyle w:val="BodyText"/>
        <w:spacing w:line="420" w:lineRule="auto" w:before="113"/>
        <w:ind w:right="22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131296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89pt;width:1.65pt;height:1.65pt;mso-position-horizontal-relative:page;mso-position-vertical-relative:paragraph;z-index:15740416" id="docshape37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389661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82037pt;width:1.65pt;height:1.65pt;mso-position-horizontal-relative:page;mso-position-vertical-relative:paragraph;z-index:15740928" id="docshape38" coordorigin="1675,614" coordsize="33,33" path="m1696,646l1687,646,1683,645,1676,638,1675,634,1675,625,1676,622,1683,615,1687,614,1696,614,1699,615,1706,622,1707,625,1707,630,1707,634,1706,638,1699,645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“Litigating Year 2000 Cases,” West Group, </w:t>
      </w:r>
      <w:r>
        <w:rPr>
          <w:color w:val="6E6158"/>
        </w:rPr>
        <w:t>1999 Speaker at Continuing Legal Education seminars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152459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678pt;width:1.65pt;height:1.65pt;mso-position-horizontal-relative:page;mso-position-vertical-relative:paragraph;z-index:15741440" id="docshape3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Selected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2025</w:t>
      </w:r>
    </w:p>
    <w:p>
      <w:pPr>
        <w:spacing w:line="398" w:lineRule="auto" w:before="170"/>
        <w:ind w:left="356" w:right="226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173920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456pt;width:1.65pt;height:1.65pt;mso-position-horizontal-relative:page;mso-position-vertical-relative:paragraph;z-index:15741952" id="docshape40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432286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38307pt;width:1.65pt;height:1.65pt;mso-position-horizontal-relative:page;mso-position-vertical-relative:paragraph;z-index:15742464" id="docshape41" coordorigin="1675,681" coordsize="33,33" path="m1696,713l1687,713,1683,712,1676,705,1675,702,1675,693,1676,689,1683,682,1687,681,1696,681,1699,682,1706,689,1707,693,1707,697,1707,702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Ranked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8"/>
          <w:sz w:val="19"/>
        </w:rPr>
        <w:t> </w: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USA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Guide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Leading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z w:val="19"/>
        </w:rPr>
        <w:t>2024 Selected to </w:t>
      </w:r>
      <w:r>
        <w:rPr>
          <w:i/>
          <w:color w:val="6E6158"/>
          <w:sz w:val="20"/>
        </w:rPr>
        <w:t>Washington Super Lawyers</w:t>
      </w:r>
      <w:r>
        <w:rPr>
          <w:color w:val="6E6158"/>
          <w:sz w:val="19"/>
        </w:rPr>
        <w:t>, 2003-2024</w:t>
      </w:r>
    </w:p>
    <w:p>
      <w:pPr>
        <w:spacing w:line="415" w:lineRule="auto" w:before="0"/>
        <w:ind w:left="356" w:right="226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65740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6394pt;width:1.65pt;height:1.65pt;mso-position-horizontal-relative:page;mso-position-vertical-relative:paragraph;z-index:15742976" id="docshape42" coordorigin="1675,104" coordsize="33,33" path="m1696,136l1687,136,1683,134,1676,128,1675,124,1675,115,1676,111,1683,105,1687,104,1696,104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329273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27019pt;width:1.65pt;height:1.65pt;mso-position-horizontal-relative:page;mso-position-vertical-relative:paragraph;z-index:15743488" id="docshape43" coordorigin="1675,519" coordsize="33,33" path="m1696,551l1687,551,1683,549,1676,543,1675,539,1675,530,1676,526,1683,520,1687,519,1696,519,1699,520,1706,526,1707,530,1707,535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Selected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Washington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Top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100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List,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2007,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z w:val="19"/>
        </w:rPr>
        <w:t>2024 Litigation Counsel of America (LCA), Fellow</w:t>
      </w:r>
    </w:p>
    <w:p>
      <w:pPr>
        <w:pStyle w:val="BodyText"/>
        <w:spacing w:before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62346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09154pt;width:1.65pt;height:1.65pt;mso-position-horizontal-relative:page;mso-position-vertical-relative:paragraph;z-index:15744000" id="docshape44" coordorigin="1675,98" coordsize="33,33" path="m1696,131l1687,131,1683,129,1676,123,1675,119,1675,110,1676,106,1683,100,1687,98,1696,98,1699,100,1706,106,1707,110,1707,114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Foundation,</w:t>
      </w:r>
      <w:r>
        <w:rPr>
          <w:color w:val="6E6158"/>
          <w:spacing w:val="14"/>
        </w:rPr>
        <w:t> </w:t>
      </w:r>
      <w:r>
        <w:rPr>
          <w:color w:val="6E6158"/>
        </w:rPr>
        <w:t>Life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Fellow</w:t>
      </w:r>
    </w:p>
    <w:p>
      <w:pPr>
        <w:spacing w:line="288" w:lineRule="auto"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170246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198pt;width:1.65pt;height:1.65pt;mso-position-horizontal-relative:page;mso-position-vertical-relative:paragraph;z-index:15744512" id="docshape4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Named “Lawyer of the Year” by </w:t>
      </w:r>
      <w:r>
        <w:rPr>
          <w:i/>
          <w:color w:val="6E6158"/>
          <w:sz w:val="20"/>
        </w:rPr>
        <w:t>Best Lawyers in America </w:t>
      </w:r>
      <w:r>
        <w:rPr>
          <w:color w:val="6E6158"/>
          <w:sz w:val="19"/>
        </w:rPr>
        <w:t>for Bet-the-Company-Litigation in Seattle, 2021</w:t>
      </w:r>
    </w:p>
    <w:p>
      <w:pPr>
        <w:pStyle w:val="BodyText"/>
        <w:spacing w:line="408" w:lineRule="auto" w:before="126"/>
        <w:ind w:right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146130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631pt;width:1.65pt;height:1.65pt;mso-position-horizontal-relative:page;mso-position-vertical-relative:paragraph;z-index:15745024" id="docshape46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404495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5006pt;width:1.65pt;height:1.65pt;mso-position-horizontal-relative:page;mso-position-vertical-relative:paragraph;z-index:15745536" id="docshape47" coordorigin="1675,637" coordsize="33,33" path="m1696,670l1687,670,1683,668,1676,662,1675,658,1675,649,1676,645,1683,639,1687,637,1696,637,1699,639,1706,645,1707,649,1707,653,1707,658,1706,662,1699,668,1696,6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Named one of “Washington’s Most Amazing Attorneys,” </w:t>
      </w:r>
      <w:r>
        <w:rPr>
          <w:i/>
          <w:color w:val="6E6158"/>
          <w:sz w:val="20"/>
        </w:rPr>
        <w:t>Washington CEO </w:t>
      </w:r>
      <w:r>
        <w:rPr>
          <w:color w:val="6E6158"/>
        </w:rPr>
        <w:t>magazine, </w:t>
      </w:r>
      <w:r>
        <w:rPr>
          <w:color w:val="6E6158"/>
        </w:rPr>
        <w:t>2006 Selected to Washington Rising Stars, 2000</w:t>
      </w:r>
    </w:p>
    <w:p>
      <w:pPr>
        <w:pStyle w:val="BodyText"/>
        <w:spacing w:before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66667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49448pt;width:1.65pt;height:1.65pt;mso-position-horizontal-relative:page;mso-position-vertical-relative:paragraph;z-index:15746048" id="docshape48" coordorigin="1675,105" coordsize="33,33" path="m1696,138l1687,138,1683,136,1676,130,1675,126,1675,117,1676,113,1683,107,1687,105,1696,105,1699,107,1706,113,1707,117,1707,121,1707,126,1706,130,1699,136,1696,1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0"/>
        </w:rPr>
        <w:t> </w:t>
      </w:r>
      <w:r>
        <w:rPr>
          <w:color w:val="6E6158"/>
        </w:rPr>
        <w:t>Preeminent</w:t>
      </w:r>
      <w:r>
        <w:rPr>
          <w:color w:val="6E6158"/>
          <w:spacing w:val="10"/>
        </w:rPr>
        <w:t> </w:t>
      </w:r>
      <w:r>
        <w:rPr>
          <w:color w:val="6E6158"/>
        </w:rPr>
        <w:t>Rating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Martindale-Hubbell</w:t>
      </w:r>
      <w:r>
        <w:rPr>
          <w:color w:val="6E6158"/>
          <w:spacing w:val="10"/>
        </w:rPr>
        <w:t> </w:t>
      </w:r>
      <w:r>
        <w:rPr>
          <w:color w:val="6E6158"/>
        </w:rPr>
        <w:t>(5.0</w:t>
      </w:r>
      <w:r>
        <w:rPr>
          <w:color w:val="6E6158"/>
          <w:spacing w:val="11"/>
        </w:rPr>
        <w:t> </w:t>
      </w:r>
      <w:r>
        <w:rPr>
          <w:color w:val="6E6158"/>
        </w:rPr>
        <w:t>out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possible</w:t>
      </w:r>
      <w:r>
        <w:rPr>
          <w:color w:val="6E6158"/>
          <w:spacing w:val="11"/>
        </w:rPr>
        <w:t> </w:t>
      </w:r>
      <w:r>
        <w:rPr>
          <w:color w:val="6E6158"/>
        </w:rPr>
        <w:t>5.0</w:t>
      </w:r>
      <w:r>
        <w:rPr>
          <w:color w:val="6E6158"/>
          <w:spacing w:val="10"/>
        </w:rPr>
        <w:t> </w:t>
      </w:r>
      <w:r>
        <w:rPr>
          <w:color w:val="6E6158"/>
        </w:rPr>
        <w:t>peer</w:t>
      </w:r>
      <w:r>
        <w:rPr>
          <w:color w:val="6E6158"/>
          <w:spacing w:val="10"/>
        </w:rPr>
        <w:t> </w:t>
      </w:r>
      <w:r>
        <w:rPr>
          <w:color w:val="6E6158"/>
        </w:rPr>
        <w:t>review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rating)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170122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493pt;width:1.65pt;height:1.65pt;mso-position-horizontal-relative:page;mso-position-vertical-relative:paragraph;z-index:15746560" id="docshape49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10.0</w:t>
      </w:r>
      <w:r>
        <w:rPr>
          <w:color w:val="6E6158"/>
          <w:spacing w:val="9"/>
        </w:rPr>
        <w:t> </w:t>
      </w:r>
      <w:r>
        <w:rPr>
          <w:color w:val="6E6158"/>
        </w:rPr>
        <w:t>Rating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Avvo.com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left="853" w:right="174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152798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379pt;width:1.65pt;height:1.65pt;mso-position-horizontal-relative:page;mso-position-vertical-relative:paragraph;z-index:15747072" id="docshape5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1378727</wp:posOffset>
                </wp:positionH>
                <wp:positionV relativeFrom="paragraph">
                  <wp:posOffset>333654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6.272003pt;width:1.65pt;height:1.65pt;mso-position-horizontal-relative:page;mso-position-vertical-relative:paragraph;z-index:15747584" id="docshape51" coordorigin="2171,525" coordsize="33,33" path="m2192,558l2183,558,2179,556,2173,550,2171,546,2171,537,2173,533,2179,527,2183,525,2192,525,2196,527,2202,533,2204,537,2204,542,2204,546,2202,550,2196,556,2192,5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Chairperson, Pike Place Market Preservation &amp; Development Authority, 2009-</w:t>
      </w:r>
      <w:r>
        <w:rPr>
          <w:color w:val="6E6158"/>
        </w:rPr>
        <w:t>2013 Councilmember (Mayoral appointee), 2006-2018</w:t>
      </w:r>
    </w:p>
    <w:p>
      <w:pPr>
        <w:pStyle w:val="BodyText"/>
        <w:spacing w:line="427" w:lineRule="auto" w:before="123"/>
        <w:ind w:right="10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137735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352pt;width:1.65pt;height:1.65pt;mso-position-horizontal-relative:page;mso-position-vertical-relative:paragraph;z-index:15748096" id="docshape52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401268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5976pt;width:1.65pt;height:1.65pt;mso-position-horizontal-relative:page;mso-position-vertical-relative:paragraph;z-index:15748608" id="docshape53" coordorigin="1675,632" coordsize="33,33" path="m1696,664l1687,664,1683,663,1676,657,1675,653,1675,644,1676,640,1683,634,1687,632,1696,632,1699,634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Federal Bar Association of the Western District of Washington, 2011-</w:t>
      </w:r>
      <w:r>
        <w:rPr>
          <w:color w:val="6E6158"/>
        </w:rPr>
        <w:t>12 Member, Board of Directors, Delta Society, Inc., 1991-1997, 2001-2007</w:t>
      </w:r>
    </w:p>
    <w:p>
      <w:pPr>
        <w:pStyle w:val="BodyText"/>
        <w:spacing w:line="420" w:lineRule="auto"/>
        <w:ind w:right="10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54913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3895pt;width:1.65pt;height:1.65pt;mso-position-horizontal-relative:page;mso-position-vertical-relative:paragraph;z-index:15749120" id="docshape54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313279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67645pt;width:1.65pt;height:1.65pt;mso-position-horizontal-relative:page;mso-position-vertical-relative:paragraph;z-index:15749632" id="docshape55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Trustees, Washington Biotechnology Foundation, 1997-</w:t>
      </w:r>
      <w:r>
        <w:rPr>
          <w:color w:val="6E6158"/>
        </w:rPr>
        <w:t>2005 President of the Board, Tribes Project, Inc., 1999-2001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53904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4426pt;width:1.65pt;height:1.65pt;mso-position-horizontal-relative:page;mso-position-vertical-relative:paragraph;z-index:15750144" id="docshape56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Leadership</w:t>
      </w:r>
      <w:r>
        <w:rPr>
          <w:color w:val="6E6158"/>
          <w:spacing w:val="12"/>
        </w:rPr>
        <w:t> </w:t>
      </w:r>
      <w:r>
        <w:rPr>
          <w:color w:val="6E6158"/>
        </w:rPr>
        <w:t>Tomorrow,</w:t>
      </w:r>
      <w:r>
        <w:rPr>
          <w:color w:val="6E6158"/>
          <w:spacing w:val="12"/>
        </w:rPr>
        <w:t> </w:t>
      </w:r>
      <w:r>
        <w:rPr>
          <w:color w:val="6E6158"/>
        </w:rPr>
        <w:t>1996-</w:t>
      </w:r>
      <w:r>
        <w:rPr>
          <w:color w:val="6E6158"/>
          <w:spacing w:val="-4"/>
        </w:rPr>
        <w:t>1997</w:t>
      </w:r>
    </w:p>
    <w:p>
      <w:pPr>
        <w:pStyle w:val="BodyText"/>
        <w:spacing w:after="0" w:line="231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22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0656" id="docshape5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373976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96pt;width:1.65pt;height:1.65pt;mso-position-horizontal-relative:page;mso-position-vertical-relative:paragraph;z-index:15751168" id="docshape58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Section of Litigation, American Bar Association, 1999-</w:t>
      </w:r>
      <w:r>
        <w:rPr>
          <w:color w:val="6E6158"/>
        </w:rPr>
        <w:t>present Member, Diversity Law Institute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17pt;width:1.65pt;height:1.65pt;mso-position-horizontal-relative:page;mso-position-vertical-relative:paragraph;z-index:15751680" id="docshape59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2"/>
        </w:rPr>
        <w:t> </w:t>
      </w:r>
      <w:r>
        <w:rPr>
          <w:color w:val="6E6158"/>
        </w:rPr>
        <w:t>Trial</w:t>
      </w:r>
      <w:r>
        <w:rPr>
          <w:color w:val="6E6158"/>
          <w:spacing w:val="2"/>
        </w:rPr>
        <w:t> </w:t>
      </w:r>
      <w:r>
        <w:rPr>
          <w:color w:val="6E6158"/>
        </w:rPr>
        <w:t>Law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Institute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152646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395pt;width:1.65pt;height:1.65pt;mso-position-horizontal-relative:page;mso-position-vertical-relative:paragraph;z-index:15752192" id="docshape6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169741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438pt;width:1.65pt;height:1.65pt;mso-position-horizontal-relative:page;mso-position-vertical-relative:paragraph;z-index:15752704" id="docshape6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</w:rPr>
        <w:t>States</w:t>
      </w:r>
      <w:r>
        <w:rPr>
          <w:color w:val="6E6158"/>
          <w:spacing w:val="14"/>
        </w:rPr>
        <w:t> </w:t>
      </w:r>
      <w:r>
        <w:rPr>
          <w:color w:val="6E6158"/>
        </w:rPr>
        <w:t>Supreme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169690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483pt;width:1.65pt;height:1.65pt;mso-position-horizontal-relative:page;mso-position-vertical-relative:paragraph;z-index:15753216" id="docshape6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2"/>
        </w:rPr>
        <w:t> </w:t>
      </w:r>
      <w:r>
        <w:rPr>
          <w:color w:val="6E6158"/>
        </w:rPr>
        <w:t>Ninth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line="420" w:lineRule="auto" w:before="183"/>
        <w:ind w:right="3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175442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403pt;width:1.65pt;height:1.65pt;mso-position-horizontal-relative:page;mso-position-vertical-relative:paragraph;z-index:15753728" id="docshape6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433808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815pt;width:1.65pt;height:1.65pt;mso-position-horizontal-relative:page;mso-position-vertical-relative:paragraph;z-index:15754240" id="docshape64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692174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5019pt;width:1.65pt;height:1.65pt;mso-position-horizontal-relative:page;mso-position-vertical-relative:paragraph;z-index:15754752" id="docshape65" coordorigin="1675,1090" coordsize="33,33" path="m1696,1123l1687,1123,1683,1121,1676,1115,1675,1111,1675,1102,1676,1098,1683,1092,1687,1090,1696,1090,1699,1092,1706,1098,1707,1102,1707,1106,1707,1111,1706,1115,1699,1121,1696,1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950539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845650pt;width:1.65pt;height:1.65pt;mso-position-horizontal-relative:page;mso-position-vertical-relative:paragraph;z-index:15755264" id="docshape66" coordorigin="1675,1497" coordsize="33,33" path="m1696,1529l1687,1529,1683,1528,1676,1522,1675,1518,1675,1509,1676,1505,1683,1499,1687,1497,1696,1497,1699,1499,1706,1505,1707,1509,1707,1513,1707,1518,1706,1522,1699,1528,1696,1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Western District of </w:t>
      </w:r>
      <w:r>
        <w:rPr>
          <w:color w:val="6E6158"/>
        </w:rPr>
        <w:t>Washington United States District Court, Eastern District of Washington United States District Court, Southern District of New York United States Court of Federal Claims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jsavitt@fennemorelaw.com" TargetMode="External"/><Relationship Id="rId11" Type="http://schemas.openxmlformats.org/officeDocument/2006/relationships/hyperlink" Target="http://us.practicallaw.com/w-000-246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2024-12-04T08:34:39Z</dcterms:created>
  <dcterms:modified xsi:type="dcterms:W3CDTF">2024-12-04T08:34:39Z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