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89290" y="763308"/>
                            <a:ext cx="133413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JOANNA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L.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PURYEAR</w:t>
                              </w:r>
                            </w:p>
                            <w:p>
                              <w:pPr>
                                <w:spacing w:before="48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28592" y="2133494"/>
                            <a:ext cx="4552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Spokane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509.316.2134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509.455.3718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03868" y="2500373"/>
                            <a:ext cx="15049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jpuryear@fennemorelaw.com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66;top:1762;width:2101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JOANNA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L.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PURYEAR</w:t>
                        </w:r>
                      </w:p>
                      <w:p>
                        <w:pPr>
                          <w:spacing w:before="48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57;top:3919;width:717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Spokane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509.316.2134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509.455.3718</w:t>
                        </w:r>
                      </w:p>
                    </w:txbxContent>
                  </v:textbox>
                  <w10:wrap type="none"/>
                </v:shape>
                <v:shape style="position:absolute;left:7331;top:4497;width:2370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jpuryear@fennemorelaw.com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JOANNA</w:t>
      </w:r>
      <w:r>
        <w:rPr>
          <w:color w:val="FF8100"/>
          <w:spacing w:val="5"/>
        </w:rPr>
        <w:t> </w:t>
      </w:r>
      <w:r>
        <w:rPr>
          <w:color w:val="FF8100"/>
        </w:rPr>
        <w:t>L.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PURYEAR</w:t>
      </w:r>
    </w:p>
    <w:p>
      <w:pPr>
        <w:pStyle w:val="BodyText"/>
        <w:spacing w:line="297" w:lineRule="auto" w:before="146"/>
        <w:ind w:left="104" w:right="146"/>
      </w:pPr>
      <w:r>
        <w:rPr>
          <w:color w:val="6E6158"/>
        </w:rPr>
        <w:t>Joanna Puryear is an Of Counsel attorney in Fennemore’s Trust &amp; Estates practice group. She</w:t>
      </w:r>
      <w:r>
        <w:rPr>
          <w:color w:val="6E6158"/>
          <w:spacing w:val="40"/>
        </w:rPr>
        <w:t> </w:t>
      </w:r>
      <w:r>
        <w:rPr>
          <w:color w:val="6E6158"/>
        </w:rPr>
        <w:t>advises clients on matters related to estate and tax planning, probate, mergers and </w:t>
      </w:r>
      <w:r>
        <w:rPr>
          <w:color w:val="6E6158"/>
        </w:rPr>
        <w:t>acquisitions,</w:t>
      </w:r>
      <w:r>
        <w:rPr>
          <w:color w:val="6E6158"/>
          <w:spacing w:val="40"/>
        </w:rPr>
        <w:t> </w:t>
      </w:r>
      <w:r>
        <w:rPr>
          <w:color w:val="6E6158"/>
        </w:rPr>
        <w:t>property sales and transfers, and general corporate matters.</w:t>
      </w:r>
    </w:p>
    <w:p>
      <w:pPr>
        <w:pStyle w:val="BodyText"/>
        <w:spacing w:line="292" w:lineRule="auto" w:before="192"/>
        <w:ind w:left="104" w:right="146"/>
      </w:pPr>
      <w:r>
        <w:rPr>
          <w:color w:val="6E6158"/>
        </w:rPr>
        <w:t>Joanna brings to the table a broad scope of experience in both transactional and litigation-</w:t>
      </w:r>
      <w:r>
        <w:rPr>
          <w:color w:val="6E6158"/>
          <w:spacing w:val="40"/>
        </w:rPr>
        <w:t> </w:t>
      </w:r>
      <w:r>
        <w:rPr>
          <w:color w:val="6E6158"/>
        </w:rPr>
        <w:t>focused work.</w:t>
      </w:r>
    </w:p>
    <w:p>
      <w:pPr>
        <w:pStyle w:val="BodyText"/>
        <w:spacing w:line="292" w:lineRule="auto" w:before="204"/>
        <w:ind w:left="104" w:right="146"/>
      </w:pPr>
      <w:r>
        <w:rPr>
          <w:color w:val="6E6158"/>
        </w:rPr>
        <w:t>An advocate in the Spokane legal community, Joanna also serves as a Commissioner Pro Tem in</w:t>
      </w:r>
      <w:r>
        <w:rPr>
          <w:color w:val="6E6158"/>
          <w:spacing w:val="40"/>
        </w:rPr>
        <w:t> </w:t>
      </w:r>
      <w:r>
        <w:rPr>
          <w:color w:val="6E6158"/>
        </w:rPr>
        <w:t>the Spokane Superior Court presiding over family law, domestic violence protection orders, and</w:t>
      </w:r>
      <w:r>
        <w:rPr>
          <w:color w:val="6E6158"/>
          <w:spacing w:val="40"/>
        </w:rPr>
        <w:t> </w:t>
      </w:r>
      <w:r>
        <w:rPr>
          <w:color w:val="6E6158"/>
        </w:rPr>
        <w:t>civil commitment matters, as well as the Ex Parte, courtroom. Prior to joining Fennemore Joanna</w:t>
      </w:r>
      <w:r>
        <w:rPr>
          <w:color w:val="6E6158"/>
          <w:spacing w:val="40"/>
        </w:rPr>
        <w:t> </w:t>
      </w:r>
      <w:r>
        <w:rPr>
          <w:color w:val="6E6158"/>
        </w:rPr>
        <w:t>was an of counsel attorney at Lucent Law.</w:t>
      </w:r>
    </w:p>
    <w:p>
      <w:pPr>
        <w:pStyle w:val="Heading1"/>
        <w:spacing w:before="17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54pt;width:1.65pt;height:1.65pt;mso-position-horizontal-relative:page;mso-position-vertical-relative:paragraph;z-index:15729152" id="docshape11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APR</w:t>
      </w:r>
      <w:r>
        <w:rPr>
          <w:color w:val="6E6158"/>
          <w:spacing w:val="7"/>
        </w:rPr>
        <w:t> </w:t>
      </w:r>
      <w:r>
        <w:rPr>
          <w:color w:val="6E6158"/>
        </w:rPr>
        <w:t>6</w:t>
      </w:r>
      <w:r>
        <w:rPr>
          <w:color w:val="6E6158"/>
          <w:spacing w:val="8"/>
        </w:rPr>
        <w:t> </w:t>
      </w:r>
      <w:r>
        <w:rPr>
          <w:color w:val="6E6158"/>
        </w:rPr>
        <w:t>Law</w:t>
      </w:r>
      <w:r>
        <w:rPr>
          <w:color w:val="6E6158"/>
          <w:spacing w:val="7"/>
        </w:rPr>
        <w:t> </w:t>
      </w:r>
      <w:r>
        <w:rPr>
          <w:color w:val="6E6158"/>
        </w:rPr>
        <w:t>Clerk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Program</w:t>
      </w:r>
    </w:p>
    <w:p>
      <w:pPr>
        <w:spacing w:before="164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169878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298pt;width:1.65pt;height:1.65pt;mso-position-horizontal-relative:page;mso-position-vertical-relative:paragraph;z-index:15729664" id="docshape12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Washington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State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magna cum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38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152936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2273pt;width:1.65pt;height:1.65pt;mso-position-horizontal-relative:page;mso-position-vertical-relative:paragraph;z-index:15730176" id="docshape13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4"/>
        </w:rPr>
        <w:t> </w:t>
      </w:r>
      <w:r>
        <w:rPr>
          <w:color w:val="6E6158"/>
        </w:rPr>
        <w:t>&amp;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Estates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420" w:lineRule="auto" w:before="147"/>
        <w:ind w:left="356" w:right="13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152757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16pt;width:1.65pt;height:1.65pt;mso-position-horizontal-relative:page;mso-position-vertical-relative:paragraph;z-index:15730688" id="docshape1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411123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191pt;width:1.65pt;height:1.65pt;mso-position-horizontal-relative:page;mso-position-vertical-relative:paragraph;z-index:15731200" id="docshape15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34"/>
        </w:rPr>
        <w:t> </w:t>
      </w:r>
      <w:r>
        <w:rPr>
          <w:color w:val="6E6158"/>
        </w:rPr>
        <w:t>Guardianship</w:t>
      </w:r>
      <w:r>
        <w:rPr>
          <w:color w:val="6E6158"/>
          <w:spacing w:val="34"/>
        </w:rPr>
        <w:t> </w:t>
      </w:r>
      <w:r>
        <w:rPr>
          <w:color w:val="6E6158"/>
        </w:rPr>
        <w:t>CLE</w:t>
      </w:r>
      <w:r>
        <w:rPr>
          <w:color w:val="6E6158"/>
          <w:spacing w:val="34"/>
        </w:rPr>
        <w:t> </w:t>
      </w:r>
      <w:r>
        <w:rPr>
          <w:color w:val="6E6158"/>
        </w:rPr>
        <w:t>–</w:t>
      </w:r>
      <w:r>
        <w:rPr>
          <w:color w:val="6E6158"/>
          <w:spacing w:val="34"/>
        </w:rPr>
        <w:t> </w:t>
      </w:r>
      <w:r>
        <w:rPr>
          <w:color w:val="6E6158"/>
        </w:rPr>
        <w:t>RCW</w:t>
      </w:r>
      <w:r>
        <w:rPr>
          <w:color w:val="6E6158"/>
          <w:spacing w:val="34"/>
        </w:rPr>
        <w:t> </w:t>
      </w:r>
      <w:r>
        <w:rPr>
          <w:color w:val="6E6158"/>
        </w:rPr>
        <w:t>11.130</w:t>
      </w:r>
      <w:r>
        <w:rPr>
          <w:color w:val="6E6158"/>
          <w:spacing w:val="34"/>
        </w:rPr>
        <w:t> </w:t>
      </w:r>
      <w:r>
        <w:rPr>
          <w:color w:val="6E6158"/>
        </w:rPr>
        <w:t>Minor</w:t>
      </w:r>
      <w:r>
        <w:rPr>
          <w:color w:val="6E6158"/>
          <w:spacing w:val="34"/>
        </w:rPr>
        <w:t> </w:t>
      </w:r>
      <w:r>
        <w:rPr>
          <w:color w:val="6E6158"/>
        </w:rPr>
        <w:t>Guardianship</w:t>
      </w:r>
      <w:r>
        <w:rPr>
          <w:color w:val="6E6158"/>
          <w:spacing w:val="34"/>
        </w:rPr>
        <w:t> </w:t>
      </w:r>
      <w:r>
        <w:rPr>
          <w:color w:val="6E6158"/>
        </w:rPr>
        <w:t>Act,</w:t>
      </w:r>
      <w:r>
        <w:rPr>
          <w:color w:val="6E6158"/>
          <w:spacing w:val="34"/>
        </w:rPr>
        <w:t> </w:t>
      </w:r>
      <w:r>
        <w:rPr>
          <w:color w:val="6E6158"/>
        </w:rPr>
        <w:t>2023</w:t>
      </w:r>
      <w:r>
        <w:rPr>
          <w:color w:val="6E6158"/>
        </w:rPr>
        <w:t> Speaker,</w:t>
      </w:r>
      <w:r>
        <w:rPr>
          <w:color w:val="6E6158"/>
          <w:spacing w:val="11"/>
        </w:rPr>
        <w:t> </w:t>
      </w:r>
      <w:r>
        <w:rPr>
          <w:color w:val="6E6158"/>
        </w:rPr>
        <w:t>Introduction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Courts</w:t>
      </w:r>
      <w:r>
        <w:rPr>
          <w:color w:val="6E6158"/>
          <w:spacing w:val="11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</w:rPr>
        <w:t>RPC</w:t>
      </w:r>
      <w:r>
        <w:rPr>
          <w:color w:val="6E6158"/>
          <w:spacing w:val="11"/>
        </w:rPr>
        <w:t> </w:t>
      </w:r>
      <w:r>
        <w:rPr>
          <w:color w:val="6E6158"/>
        </w:rPr>
        <w:t>1.6</w:t>
      </w:r>
      <w:r>
        <w:rPr>
          <w:color w:val="6E6158"/>
          <w:spacing w:val="11"/>
        </w:rPr>
        <w:t> </w:t>
      </w:r>
      <w:r>
        <w:rPr>
          <w:color w:val="6E6158"/>
        </w:rPr>
        <w:t>Confidentiality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information,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427" w:lineRule="auto"/>
        <w:ind w:left="356" w:right="13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58403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8691pt;width:1.65pt;height:1.65pt;mso-position-horizontal-relative:page;mso-position-vertical-relative:paragraph;z-index:15731712" id="docshape16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321936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9314pt;width:1.65pt;height:1.65pt;mso-position-horizontal-relative:page;mso-position-vertical-relative:paragraph;z-index:15732224" id="docshape17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Introduction to the Courts – RPC 1.18 Duties to Prospective Clients, 2020 Speaker, Family Law in the Next Decade – Washington State Relocation Act, </w:t>
      </w:r>
      <w:r>
        <w:rPr>
          <w:color w:val="6E6158"/>
        </w:rPr>
        <w:t>2019</w:t>
      </w:r>
    </w:p>
    <w:p>
      <w:pPr>
        <w:pStyle w:val="Heading1"/>
        <w:spacing w:before="15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152693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092pt;width:1.65pt;height:1.65pt;mso-position-horizontal-relative:page;mso-position-vertical-relative:paragraph;z-index:15732736" id="docshape1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Commissioner</w:t>
      </w:r>
      <w:r>
        <w:rPr>
          <w:color w:val="6E6158"/>
          <w:spacing w:val="13"/>
        </w:rPr>
        <w:t> </w:t>
      </w:r>
      <w:r>
        <w:rPr>
          <w:color w:val="6E6158"/>
        </w:rPr>
        <w:t>Pro</w:t>
      </w:r>
      <w:r>
        <w:rPr>
          <w:color w:val="6E6158"/>
          <w:spacing w:val="13"/>
        </w:rPr>
        <w:t> </w:t>
      </w:r>
      <w:r>
        <w:rPr>
          <w:color w:val="6E6158"/>
        </w:rPr>
        <w:t>Tem,</w:t>
      </w:r>
      <w:r>
        <w:rPr>
          <w:color w:val="6E6158"/>
          <w:spacing w:val="13"/>
        </w:rPr>
        <w:t> </w:t>
      </w:r>
      <w:r>
        <w:rPr>
          <w:color w:val="6E6158"/>
        </w:rPr>
        <w:t>Spokane</w:t>
      </w:r>
      <w:r>
        <w:rPr>
          <w:color w:val="6E6158"/>
          <w:spacing w:val="13"/>
        </w:rPr>
        <w:t> </w:t>
      </w:r>
      <w:r>
        <w:rPr>
          <w:color w:val="6E6158"/>
        </w:rPr>
        <w:t>Superior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169788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9136pt;width:1.65pt;height:1.65pt;mso-position-horizontal-relative:page;mso-position-vertical-relative:paragraph;z-index:15733248" id="docshape19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Trustee,</w:t>
      </w:r>
      <w:r>
        <w:rPr>
          <w:color w:val="6E6158"/>
          <w:spacing w:val="12"/>
        </w:rPr>
        <w:t> </w:t>
      </w:r>
      <w:r>
        <w:rPr>
          <w:color w:val="6E6158"/>
        </w:rPr>
        <w:t>Spokane</w:t>
      </w:r>
      <w:r>
        <w:rPr>
          <w:color w:val="6E6158"/>
          <w:spacing w:val="12"/>
        </w:rPr>
        <w:t> </w:t>
      </w:r>
      <w:r>
        <w:rPr>
          <w:color w:val="6E6158"/>
        </w:rPr>
        <w:t>County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</w:rPr>
        <w:t>Association</w:t>
      </w:r>
      <w:r>
        <w:rPr>
          <w:color w:val="6E6158"/>
          <w:spacing w:val="12"/>
        </w:rPr>
        <w:t> </w:t>
      </w:r>
      <w:r>
        <w:rPr>
          <w:color w:val="6E6158"/>
        </w:rPr>
        <w:t>Board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Trustees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356" w:right="16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760" id="docshape20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34272" id="docshape21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Spokane County Bar Association Young Lawyers Division </w:t>
      </w:r>
      <w:r>
        <w:rPr>
          <w:color w:val="6E6158"/>
        </w:rPr>
        <w:t>President Volunteer, Aspiring Board Member, Women Helping Women Fund</w:t>
      </w:r>
    </w:p>
    <w:p>
      <w:pPr>
        <w:pStyle w:val="Heading1"/>
        <w:spacing w:before="46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152695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273pt;width:1.65pt;height:1.65pt;mso-position-horizontal-relative:page;mso-position-vertical-relative:paragraph;z-index:15734784" id="docshape2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Washington</w:t>
      </w:r>
    </w:p>
    <w:p>
      <w:pPr>
        <w:pStyle w:val="BodyText"/>
        <w:spacing w:line="420" w:lineRule="auto" w:before="174"/>
        <w:ind w:left="356" w:right="26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169790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9317pt;width:1.65pt;height:1.65pt;mso-position-horizontal-relative:page;mso-position-vertical-relative:paragraph;z-index:15735296" id="docshape23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428155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13066pt;width:1.65pt;height:1.65pt;mso-position-horizontal-relative:page;mso-position-vertical-relative:paragraph;z-index:15735808" id="docshape24" coordorigin="1675,674" coordsize="33,33" path="m1696,707l1687,707,1683,705,1676,699,1675,695,1675,686,1676,682,1683,676,1687,674,1696,674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District Court for the Eastern District of </w:t>
      </w:r>
      <w:r>
        <w:rPr>
          <w:color w:val="6E6158"/>
        </w:rPr>
        <w:t>Washington </w:t>
      </w:r>
      <w:r>
        <w:rPr>
          <w:color w:val="6E6158"/>
          <w:spacing w:val="-2"/>
        </w:rPr>
        <w:t>Idaho</w:t>
      </w:r>
    </w:p>
    <w:p>
      <w:pPr>
        <w:pStyle w:val="BodyText"/>
        <w:spacing w:line="422" w:lineRule="auto"/>
        <w:ind w:left="356" w:right="40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58291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9848pt;width:1.65pt;height:1.65pt;mso-position-horizontal-relative:page;mso-position-vertical-relative:paragraph;z-index:15736320" id="docshape25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321824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0473pt;width:1.65pt;height:1.65pt;mso-position-horizontal-relative:page;mso-position-vertical-relative:paragraph;z-index:15736832" id="docshape26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580189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84223pt;width:1.65pt;height:1.65pt;mso-position-horizontal-relative:page;mso-position-vertical-relative:paragraph;z-index:15737344" id="docshape27" coordorigin="1675,914" coordsize="33,33" path="m1696,946l1687,946,1683,945,1676,938,1675,934,1675,925,1676,922,1683,915,1687,914,1696,914,1699,915,1706,922,1707,925,1707,930,1707,934,1706,938,1699,945,1696,9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District Court for the District of Idaho United States Bankruptcy Court, District of Idaho United States Court of Appeals for the Ninth </w:t>
      </w:r>
      <w:r>
        <w:rPr>
          <w:color w:val="6E6158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spokane/" TargetMode="External"/><Relationship Id="rId10" Type="http://schemas.openxmlformats.org/officeDocument/2006/relationships/hyperlink" Target="mailto:jpuryea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2024-12-04T08:21:19Z</dcterms:created>
  <dcterms:modified xsi:type="dcterms:W3CDTF">2024-12-04T08:21:19Z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