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34435" y="1369338"/>
                            <a:ext cx="20313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320675">
                                <a:moveTo>
                                  <a:pt x="203075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30755" y="320382"/>
                                </a:lnTo>
                                <a:lnTo>
                                  <a:pt x="2030755" y="315214"/>
                                </a:lnTo>
                                <a:close/>
                              </a:path>
                              <a:path w="2031364" h="320675">
                                <a:moveTo>
                                  <a:pt x="203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30755" y="5168"/>
                                </a:lnTo>
                                <a:lnTo>
                                  <a:pt x="203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35087" y="763308"/>
                            <a:ext cx="204216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BOSTICK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1859626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3508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90340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3845" y="2226505"/>
                            <a:ext cx="1544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mbostick@fennemorelaw.com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07;top:2716;width:3199;height:505" id="docshape5" coordorigin="6907,2716" coordsize="3199,505" path="m10105,3213l6907,3213,6907,3221,10105,3221,10105,3213xm10105,2716l6907,2716,6907,2725,10105,2725,1010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08;top:1762;width:3216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BOSTICK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488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08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885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00;top:4066;width:243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mbostick@fennemorelaw.com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MARK</w:t>
      </w:r>
      <w:r>
        <w:rPr>
          <w:color w:val="FF8100"/>
          <w:spacing w:val="5"/>
        </w:rPr>
        <w:t> </w:t>
      </w:r>
      <w:r>
        <w:rPr>
          <w:color w:val="FF8100"/>
        </w:rPr>
        <w:t>S.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BOSTICK</w:t>
      </w:r>
    </w:p>
    <w:p>
      <w:pPr>
        <w:pStyle w:val="BodyText"/>
        <w:spacing w:before="147"/>
        <w:ind w:left="104"/>
      </w:pPr>
      <w:r>
        <w:rPr>
          <w:color w:val="6E6158"/>
        </w:rPr>
        <w:t>Mark</w:t>
      </w:r>
      <w:r>
        <w:rPr>
          <w:color w:val="6E6158"/>
          <w:spacing w:val="11"/>
        </w:rPr>
        <w:t> </w:t>
      </w:r>
      <w:r>
        <w:rPr>
          <w:color w:val="6E6158"/>
        </w:rPr>
        <w:t>has</w:t>
      </w:r>
      <w:r>
        <w:rPr>
          <w:color w:val="6E6158"/>
          <w:spacing w:val="12"/>
        </w:rPr>
        <w:t> </w:t>
      </w:r>
      <w:r>
        <w:rPr>
          <w:color w:val="6E6158"/>
        </w:rPr>
        <w:t>more</w:t>
      </w:r>
      <w:r>
        <w:rPr>
          <w:color w:val="6E6158"/>
          <w:spacing w:val="12"/>
        </w:rPr>
        <w:t> </w:t>
      </w:r>
      <w:r>
        <w:rPr>
          <w:color w:val="6E6158"/>
        </w:rPr>
        <w:t>than</w:t>
      </w:r>
      <w:r>
        <w:rPr>
          <w:color w:val="6E6158"/>
          <w:spacing w:val="11"/>
        </w:rPr>
        <w:t> </w:t>
      </w:r>
      <w:r>
        <w:rPr>
          <w:color w:val="6E6158"/>
        </w:rPr>
        <w:t>35</w:t>
      </w:r>
      <w:r>
        <w:rPr>
          <w:color w:val="6E6158"/>
          <w:spacing w:val="12"/>
        </w:rPr>
        <w:t> </w:t>
      </w:r>
      <w:r>
        <w:rPr>
          <w:color w:val="6E6158"/>
        </w:rPr>
        <w:t>years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experience</w:t>
      </w:r>
      <w:r>
        <w:rPr>
          <w:color w:val="6E6158"/>
          <w:spacing w:val="12"/>
        </w:rPr>
        <w:t> </w:t>
      </w:r>
      <w:r>
        <w:rPr>
          <w:color w:val="6E6158"/>
        </w:rPr>
        <w:t>focused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insolvency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</w:rPr>
        <w:t>representing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trustees,</w:t>
      </w:r>
    </w:p>
    <w:p>
      <w:pPr>
        <w:pStyle w:val="BodyText"/>
        <w:spacing w:line="295" w:lineRule="auto" w:before="60"/>
        <w:ind w:left="104" w:right="275"/>
      </w:pPr>
      <w:r>
        <w:rPr>
          <w:color w:val="6E6158"/>
        </w:rPr>
        <w:t>debtors, creditors and other interested parties in all forms of insolvency proceedings and out-of-</w:t>
      </w:r>
      <w:r>
        <w:rPr>
          <w:color w:val="6E6158"/>
          <w:spacing w:val="40"/>
        </w:rPr>
        <w:t> </w:t>
      </w:r>
      <w:r>
        <w:rPr>
          <w:color w:val="6E6158"/>
        </w:rPr>
        <w:t>court</w:t>
      </w:r>
      <w:r>
        <w:rPr>
          <w:color w:val="6E6158"/>
          <w:spacing w:val="25"/>
        </w:rPr>
        <w:t> </w:t>
      </w:r>
      <w:r>
        <w:rPr>
          <w:color w:val="6E6158"/>
        </w:rPr>
        <w:t>workouts.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2018,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Chair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Bankruptcy</w:t>
      </w:r>
      <w:r>
        <w:rPr>
          <w:color w:val="6E6158"/>
          <w:spacing w:val="25"/>
        </w:rPr>
        <w:t> </w:t>
      </w:r>
      <w:r>
        <w:rPr>
          <w:color w:val="6E6158"/>
        </w:rPr>
        <w:t>Section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Alameda County</w:t>
      </w:r>
      <w:r>
        <w:rPr>
          <w:color w:val="6E6158"/>
          <w:spacing w:val="29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Association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Co-Chair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Committee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Lawyer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Trustee Representatives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United</w:t>
      </w:r>
      <w:r>
        <w:rPr>
          <w:color w:val="6E6158"/>
          <w:spacing w:val="32"/>
        </w:rPr>
        <w:t> </w:t>
      </w:r>
      <w:r>
        <w:rPr>
          <w:color w:val="6E6158"/>
        </w:rPr>
        <w:t>States</w:t>
      </w:r>
      <w:r>
        <w:rPr>
          <w:color w:val="6E6158"/>
          <w:spacing w:val="32"/>
        </w:rPr>
        <w:t> </w:t>
      </w:r>
      <w:r>
        <w:rPr>
          <w:color w:val="6E6158"/>
        </w:rPr>
        <w:t>Bankruptcy</w:t>
      </w:r>
      <w:r>
        <w:rPr>
          <w:color w:val="6E6158"/>
          <w:spacing w:val="32"/>
        </w:rPr>
        <w:t> </w:t>
      </w:r>
      <w:r>
        <w:rPr>
          <w:color w:val="6E6158"/>
        </w:rPr>
        <w:t>Court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Northern</w:t>
      </w:r>
      <w:r>
        <w:rPr>
          <w:color w:val="6E6158"/>
          <w:spacing w:val="32"/>
        </w:rPr>
        <w:t> </w:t>
      </w:r>
      <w:r>
        <w:rPr>
          <w:color w:val="6E6158"/>
        </w:rPr>
        <w:t>District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California.</w:t>
      </w:r>
    </w:p>
    <w:p>
      <w:pPr>
        <w:pStyle w:val="BodyText"/>
        <w:spacing w:line="292" w:lineRule="auto" w:before="197"/>
        <w:ind w:left="104" w:right="275"/>
      </w:pPr>
      <w:r>
        <w:rPr>
          <w:color w:val="6E6158"/>
        </w:rPr>
        <w:t>Prior to entering private practice in 1983, Mark clerked for the Honorable Robert L. Hughes,</w:t>
      </w:r>
      <w:r>
        <w:rPr>
          <w:color w:val="6E6158"/>
          <w:spacing w:val="40"/>
        </w:rPr>
        <w:t> </w:t>
      </w:r>
      <w:r>
        <w:rPr>
          <w:color w:val="6E6158"/>
        </w:rPr>
        <w:t>Bankruptcy Judge (Oakland) and former Chief Judge for the Bankruptcy Appellate Panel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Ninth Circuit.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152572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561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410937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7311pt;width:1.65pt;height:1.65pt;mso-position-horizontal-relative:page;mso-position-vertical-relative:paragraph;z-index:15729664" id="docshape12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Francisco, School of </w:t>
      </w:r>
      <w:r>
        <w:rPr>
          <w:color w:val="6E6158"/>
        </w:rPr>
        <w:t>Law</w:t>
      </w:r>
      <w:r>
        <w:rPr>
          <w:color w:val="6E6158"/>
        </w:rPr>
        <w:t> B.A., University of California, Berkeley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59396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6921pt;width:1.65pt;height:1.65pt;mso-position-horizontal-relative:page;mso-position-vertical-relative:paragraph;z-index:15730176" id="docshape13" coordorigin="1675,94" coordsize="33,33" path="m1696,126l1687,126,1683,124,1676,118,1675,114,1675,105,1676,101,1683,95,1687,94,1696,94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</w:t>
      </w:r>
    </w:p>
    <w:p>
      <w:pPr>
        <w:pStyle w:val="BodyText"/>
        <w:spacing w:line="420" w:lineRule="auto" w:before="174"/>
        <w:ind w:left="356"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169836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966pt;width:1.65pt;height:1.65pt;mso-position-horizontal-relative:page;mso-position-vertical-relative:paragraph;z-index:15730688" id="docshape1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428202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6717pt;width:1.65pt;height:1.65pt;mso-position-horizontal-relative:page;mso-position-vertical-relative:paragraph;z-index:15731200" id="docshape15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&amp; Finance</w:t>
      </w:r>
    </w:p>
    <w:p>
      <w:pPr>
        <w:pStyle w:val="Heading1"/>
        <w:spacing w:before="16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0" w:lineRule="auto" w:before="13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152352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229pt;width:1.65pt;height:1.65pt;mso-position-horizontal-relative:page;mso-position-vertical-relative:paragraph;z-index:15731712" id="docshape16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 re Golden</w:t>
      </w:r>
      <w:r>
        <w:rPr>
          <w:color w:val="6E6158"/>
        </w:rPr>
        <w:t>, 789 F.2d 698 (9th Cir. 1986) holding that a bankruptcy trustee may recover un- reinvested homestead sale proceeds despite the lack of objection to the debtor’s </w:t>
      </w:r>
      <w:r>
        <w:rPr>
          <w:color w:val="6E6158"/>
        </w:rPr>
        <w:t>exemption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claim.</w:t>
      </w:r>
    </w:p>
    <w:p>
      <w:pPr>
        <w:pStyle w:val="BodyText"/>
        <w:spacing w:line="288" w:lineRule="auto" w:before="124"/>
        <w:ind w:left="356"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144845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05158pt;width:1.65pt;height:1.65pt;mso-position-horizontal-relative:page;mso-position-vertical-relative:paragraph;z-index:15732224" id="docshape17" coordorigin="1675,228" coordsize="33,33" path="m1696,261l1687,261,1683,259,1676,253,1675,249,1675,240,1676,236,1683,230,1687,228,1696,228,1699,230,1706,236,1707,240,1707,244,1707,249,1706,253,1699,259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 re Serrato</w:t>
      </w:r>
      <w:r>
        <w:rPr>
          <w:color w:val="6E6158"/>
        </w:rPr>
        <w:t>, 214 B.R. 219 (Bankr. N.D. Cal. 1997) finding that an unsecured debt of $1 existing on</w:t>
      </w:r>
      <w:r>
        <w:rPr>
          <w:color w:val="6E6158"/>
          <w:spacing w:val="26"/>
        </w:rPr>
        <w:t> </w:t>
      </w:r>
      <w:r>
        <w:rPr>
          <w:color w:val="6E6158"/>
        </w:rPr>
        <w:t>date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transfer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sufficient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avoid</w:t>
      </w:r>
      <w:r>
        <w:rPr>
          <w:color w:val="6E6158"/>
          <w:spacing w:val="26"/>
        </w:rPr>
        <w:t> </w:t>
      </w:r>
      <w:r>
        <w:rPr>
          <w:color w:val="6E6158"/>
        </w:rPr>
        <w:t>fraudulent</w:t>
      </w:r>
      <w:r>
        <w:rPr>
          <w:color w:val="6E6158"/>
          <w:spacing w:val="26"/>
        </w:rPr>
        <w:t> </w:t>
      </w:r>
      <w:r>
        <w:rPr>
          <w:color w:val="6E6158"/>
        </w:rPr>
        <w:t>transfer</w:t>
      </w:r>
      <w:r>
        <w:rPr>
          <w:color w:val="6E6158"/>
          <w:spacing w:val="26"/>
        </w:rPr>
        <w:t> </w:t>
      </w:r>
      <w:r>
        <w:rPr>
          <w:color w:val="6E6158"/>
        </w:rPr>
        <w:t>under</w:t>
      </w:r>
      <w:r>
        <w:rPr>
          <w:color w:val="6E6158"/>
          <w:spacing w:val="26"/>
        </w:rPr>
        <w:t> </w:t>
      </w:r>
      <w:r>
        <w:rPr>
          <w:color w:val="6E6158"/>
        </w:rPr>
        <w:t>11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C.</w:t>
      </w:r>
      <w:r>
        <w:rPr>
          <w:color w:val="6E6158"/>
          <w:spacing w:val="26"/>
        </w:rPr>
        <w:t> </w:t>
      </w:r>
      <w:r>
        <w:rPr>
          <w:color w:val="6E6158"/>
        </w:rPr>
        <w:t>§544(b).</w:t>
      </w:r>
    </w:p>
    <w:p>
      <w:pPr>
        <w:pStyle w:val="Heading1"/>
        <w:spacing w:before="29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2006-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141pt;width:1.65pt;height:1.65pt;mso-position-horizontal-relative:page;mso-position-vertical-relative:paragraph;z-index:15733248" id="docshape19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0"/>
        </w:rPr>
        <w:t> </w:t>
      </w:r>
      <w:r>
        <w:rPr>
          <w:color w:val="6E6158"/>
        </w:rPr>
        <w:t>Preeminent™</w:t>
      </w:r>
      <w:r>
        <w:rPr>
          <w:color w:val="6E6158"/>
          <w:spacing w:val="10"/>
        </w:rPr>
        <w:t> </w:t>
      </w:r>
      <w:r>
        <w:rPr>
          <w:color w:val="6E6158"/>
        </w:rPr>
        <w:t>Peer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Martindale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06" w:lineRule="exact" w:before="13"/>
        <w:ind w:left="356"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152679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28pt;width:1.65pt;height:1.65pt;mso-position-horizontal-relative:page;mso-position-vertical-relative:paragraph;z-index:15733760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411045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5776pt;width:1.65pt;height:1.65pt;mso-position-horizontal-relative:page;mso-position-vertical-relative:paragraph;z-index:15734272" id="docshape2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669410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9526pt;width:1.65pt;height:1.65pt;mso-position-horizontal-relative:page;mso-position-vertical-relative:paragraph;z-index:15734784" id="docshape22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Mechanics Liens and Related Construction Remedies,” CEB, 2019-2021 Author, “Syllabus for Bankruptcy for Litigators 101(A)”, Alameda County Bar Association, </w:t>
      </w:r>
      <w:r>
        <w:rPr>
          <w:color w:val="6E6158"/>
        </w:rPr>
        <w:t>2017 Presenter, “Bankruptcy 101A for Litigators,” Alameda County Bar Association and Contra</w:t>
      </w:r>
    </w:p>
    <w:p>
      <w:pPr>
        <w:pStyle w:val="BodyText"/>
        <w:spacing w:before="14"/>
        <w:ind w:left="356"/>
      </w:pPr>
      <w:r>
        <w:rPr>
          <w:color w:val="6E6158"/>
        </w:rPr>
        <w:t>Costa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175298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07pt;width:1.65pt;height:1.65pt;mso-position-horizontal-relative:page;mso-position-vertical-relative:paragraph;z-index:15735296" id="docshape2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Editor,</w:t>
      </w:r>
      <w:r>
        <w:rPr>
          <w:color w:val="6E6158"/>
          <w:spacing w:val="12"/>
        </w:rPr>
        <w:t> </w:t>
      </w:r>
      <w:r>
        <w:rPr>
          <w:color w:val="6E6158"/>
        </w:rPr>
        <w:t>“California</w:t>
      </w:r>
      <w:r>
        <w:rPr>
          <w:color w:val="6E6158"/>
          <w:spacing w:val="12"/>
        </w:rPr>
        <w:t> </w:t>
      </w:r>
      <w:r>
        <w:rPr>
          <w:color w:val="6E6158"/>
        </w:rPr>
        <w:t>Mortgage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Deed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Trust</w:t>
      </w:r>
      <w:r>
        <w:rPr>
          <w:color w:val="6E6158"/>
          <w:spacing w:val="12"/>
        </w:rPr>
        <w:t> </w:t>
      </w:r>
      <w:r>
        <w:rPr>
          <w:color w:val="6E6158"/>
        </w:rPr>
        <w:t>Practice,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Section,”</w:t>
      </w:r>
      <w:r>
        <w:rPr>
          <w:color w:val="6E6158"/>
          <w:spacing w:val="12"/>
        </w:rPr>
        <w:t> </w:t>
      </w:r>
      <w:r>
        <w:rPr>
          <w:color w:val="6E6158"/>
        </w:rPr>
        <w:t>CEB,</w:t>
      </w:r>
      <w:r>
        <w:rPr>
          <w:color w:val="6E6158"/>
          <w:spacing w:val="12"/>
        </w:rPr>
        <w:t> </w:t>
      </w:r>
      <w:r>
        <w:rPr>
          <w:color w:val="6E6158"/>
        </w:rPr>
        <w:t>2007-</w:t>
      </w:r>
      <w:r>
        <w:rPr>
          <w:color w:val="6E6158"/>
          <w:spacing w:val="-4"/>
        </w:rPr>
        <w:t>2016</w:t>
      </w:r>
    </w:p>
    <w:p>
      <w:pPr>
        <w:pStyle w:val="BodyText"/>
        <w:spacing w:line="292" w:lineRule="auto" w:before="174"/>
        <w:ind w:left="356"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15pt;width:1.65pt;height:1.65pt;mso-position-horizontal-relative:page;mso-position-vertical-relative:paragraph;z-index:15735808" id="docshape2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to Avoid Needlessly Exposing a Client’s Assets to Creditors in an Estate Plan or Trust,” Wendel Rosen LLP, October 2015</w:t>
      </w:r>
    </w:p>
    <w:p>
      <w:pPr>
        <w:pStyle w:val="BodyText"/>
        <w:spacing w:line="302" w:lineRule="auto" w:before="123"/>
        <w:ind w:left="356"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137961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088pt;width:1.65pt;height:1.65pt;mso-position-horizontal-relative:page;mso-position-vertical-relative:paragraph;z-index:15736320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“Startup Entrepreneurs Should Plan for Success But Prepare for Failure: Do You Have a Plan B?” Wendel Rosen LLP, September 2015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131471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2119pt;width:1.65pt;height:1.65pt;mso-position-horizontal-relative:page;mso-position-vertical-relative:paragraph;z-index:15736832" id="docshape26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“How Trusts and Estates Attorneys Can Avoid Exposing Clients’ Assets to Creditors in Estate Plans,” East Bay Trusts and Estates Lawyers, April 8, 2015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1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152639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826pt;width:1.65pt;height:1.65pt;mso-position-horizontal-relative:page;mso-position-vertical-relative:paragraph;z-index:15737344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411004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2576pt;width:1.65pt;height:1.65pt;mso-position-horizontal-relative:page;mso-position-vertical-relative:paragraph;z-index:15737856" id="docshape2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Committee, Bankruptcy Court for the Northern District of </w:t>
      </w:r>
      <w:r>
        <w:rPr>
          <w:color w:val="6E6158"/>
        </w:rPr>
        <w:t>California Member, California Bankruptcy Forum</w:t>
      </w:r>
    </w:p>
    <w:p>
      <w:pPr>
        <w:pStyle w:val="BodyText"/>
        <w:spacing w:line="422" w:lineRule="auto"/>
        <w:ind w:left="356" w:right="3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58284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9356pt;width:1.65pt;height:1.65pt;mso-position-horizontal-relative:page;mso-position-vertical-relative:paragraph;z-index:15738368" id="docshape29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316650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3105pt;width:1.65pt;height:1.65pt;mso-position-horizontal-relative:page;mso-position-vertical-relative:paragraph;z-index:15738880" id="docshape30" coordorigin="1675,499" coordsize="33,33" path="m1696,531l1687,531,1683,530,1676,523,1675,519,1675,510,1676,507,1683,500,1687,499,1696,499,1699,500,1706,507,1707,510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580183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3731pt;width:1.65pt;height:1.65pt;mso-position-horizontal-relative:page;mso-position-vertical-relative:paragraph;z-index:15739392" id="docshape31" coordorigin="1675,914" coordsize="33,33" path="m1696,946l1687,946,1683,945,1676,938,1675,934,1675,925,1676,922,1683,915,1687,914,1696,914,1699,915,1706,922,1707,925,1707,930,1707,934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Francisco County Bar Association Member, National Association of Bankruptcy </w:t>
      </w:r>
      <w:r>
        <w:rPr>
          <w:color w:val="6E6158"/>
        </w:rPr>
        <w:t>Trustees Member, American Bankruptcy Institute</w:t>
      </w:r>
    </w:p>
    <w:p>
      <w:pPr>
        <w:pStyle w:val="Heading1"/>
        <w:spacing w:before="158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152697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455pt;width:1.65pt;height:1.65pt;mso-position-horizontal-relative:page;mso-position-vertical-relative:paragraph;z-index:15739904" id="docshape3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bostic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2024-12-04T08:45:27Z</dcterms:created>
  <dcterms:modified xsi:type="dcterms:W3CDTF">2024-12-04T08:45:27Z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