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59255" y="763308"/>
                            <a:ext cx="13938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MATTHEW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F.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GRAHAM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11924" y="2133494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Walnut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59380" y="2500373"/>
                            <a:ext cx="1593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mgraham@fennemorelaw.com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18;top:1762;width:2195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MATTHEW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F.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GRAHAM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974;top:3919;width:1085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Walnut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Creek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261;top:4497;width:251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mgraham@fennemorelaw.com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MATTHEW</w:t>
      </w:r>
      <w:r>
        <w:rPr>
          <w:color w:val="FF8100"/>
          <w:spacing w:val="7"/>
        </w:rPr>
        <w:t> </w:t>
      </w:r>
      <w:r>
        <w:rPr>
          <w:color w:val="FF8100"/>
        </w:rPr>
        <w:t>F.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GRAHAM</w:t>
      </w:r>
    </w:p>
    <w:p>
      <w:pPr>
        <w:pStyle w:val="BodyText"/>
        <w:spacing w:line="302" w:lineRule="auto" w:before="146"/>
        <w:ind w:left="104"/>
      </w:pPr>
      <w:r>
        <w:rPr>
          <w:color w:val="6E6158"/>
        </w:rPr>
        <w:t>Matt has represented owners, contractors, design professionals and sureties in a wide array of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transactions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throughout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western</w:t>
      </w:r>
      <w:r>
        <w:rPr>
          <w:color w:val="6E6158"/>
          <w:spacing w:val="40"/>
        </w:rPr>
        <w:t> </w:t>
      </w:r>
      <w:r>
        <w:rPr>
          <w:color w:val="6E6158"/>
        </w:rPr>
        <w:t>states.</w:t>
      </w:r>
    </w:p>
    <w:p>
      <w:pPr>
        <w:pStyle w:val="BodyText"/>
        <w:spacing w:line="292" w:lineRule="auto" w:before="186"/>
        <w:ind w:left="104" w:right="432"/>
      </w:pPr>
      <w:r>
        <w:rPr>
          <w:color w:val="6E6158"/>
        </w:rPr>
        <w:t>From 1986 until 2002, Matt served as Chief Litigation Counsel in California for one of the five</w:t>
      </w:r>
      <w:r>
        <w:rPr>
          <w:color w:val="6E6158"/>
          <w:spacing w:val="40"/>
        </w:rPr>
        <w:t> </w:t>
      </w:r>
      <w:r>
        <w:rPr>
          <w:color w:val="6E6158"/>
        </w:rPr>
        <w:t>largest general contractors in the United States. He supervised complex construction </w:t>
      </w:r>
      <w:r>
        <w:rPr>
          <w:color w:val="6E6158"/>
        </w:rPr>
        <w:t>litigation</w:t>
      </w:r>
      <w:r>
        <w:rPr>
          <w:color w:val="6E6158"/>
          <w:spacing w:val="40"/>
        </w:rPr>
        <w:t> </w:t>
      </w:r>
      <w:r>
        <w:rPr>
          <w:color w:val="6E6158"/>
        </w:rPr>
        <w:t>cases</w:t>
      </w:r>
      <w:r>
        <w:rPr>
          <w:color w:val="6E6158"/>
          <w:spacing w:val="14"/>
        </w:rPr>
        <w:t> </w:t>
      </w:r>
      <w:r>
        <w:rPr>
          <w:color w:val="6E6158"/>
        </w:rPr>
        <w:t>involving</w:t>
      </w:r>
      <w:r>
        <w:rPr>
          <w:color w:val="6E6158"/>
          <w:spacing w:val="15"/>
        </w:rPr>
        <w:t> </w:t>
      </w:r>
      <w:r>
        <w:rPr>
          <w:color w:val="6E6158"/>
        </w:rPr>
        <w:t>issues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payment,</w:t>
      </w:r>
      <w:r>
        <w:rPr>
          <w:color w:val="6E6158"/>
          <w:spacing w:val="14"/>
        </w:rPr>
        <w:t> </w:t>
      </w:r>
      <w:r>
        <w:rPr>
          <w:color w:val="6E6158"/>
        </w:rPr>
        <w:t>licensing,</w:t>
      </w:r>
      <w:r>
        <w:rPr>
          <w:color w:val="6E6158"/>
          <w:spacing w:val="15"/>
        </w:rPr>
        <w:t> </w:t>
      </w:r>
      <w:r>
        <w:rPr>
          <w:color w:val="6E6158"/>
        </w:rPr>
        <w:t>construction</w:t>
      </w:r>
      <w:r>
        <w:rPr>
          <w:color w:val="6E6158"/>
          <w:spacing w:val="15"/>
        </w:rPr>
        <w:t> </w:t>
      </w:r>
      <w:r>
        <w:rPr>
          <w:color w:val="6E6158"/>
        </w:rPr>
        <w:t>defects,</w:t>
      </w:r>
      <w:r>
        <w:rPr>
          <w:color w:val="6E6158"/>
          <w:spacing w:val="15"/>
        </w:rPr>
        <w:t> </w:t>
      </w:r>
      <w:r>
        <w:rPr>
          <w:color w:val="6E6158"/>
        </w:rPr>
        <w:t>design</w:t>
      </w:r>
      <w:r>
        <w:rPr>
          <w:color w:val="6E6158"/>
          <w:spacing w:val="15"/>
        </w:rPr>
        <w:t> </w:t>
      </w:r>
      <w:r>
        <w:rPr>
          <w:color w:val="6E6158"/>
        </w:rPr>
        <w:t>failures,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mechanic’s</w:t>
      </w:r>
    </w:p>
    <w:p>
      <w:pPr>
        <w:pStyle w:val="BodyText"/>
        <w:spacing w:line="292" w:lineRule="auto" w:before="10"/>
        <w:ind w:left="104"/>
      </w:pPr>
      <w:r>
        <w:rPr>
          <w:color w:val="6E6158"/>
        </w:rPr>
        <w:t>liens and stop notices, and has advocated and defended claims for delays and extras involving</w:t>
      </w:r>
      <w:r>
        <w:rPr>
          <w:color w:val="6E6158"/>
          <w:spacing w:val="40"/>
        </w:rPr>
        <w:t> </w:t>
      </w:r>
      <w:r>
        <w:rPr>
          <w:color w:val="6E6158"/>
        </w:rPr>
        <w:t>damages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hundreds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millions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dollars.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attacked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defended</w:t>
      </w:r>
      <w:r>
        <w:rPr>
          <w:color w:val="6E6158"/>
          <w:spacing w:val="27"/>
        </w:rPr>
        <w:t> </w:t>
      </w:r>
      <w:r>
        <w:rPr>
          <w:color w:val="6E6158"/>
        </w:rPr>
        <w:t>numerous bid</w:t>
      </w:r>
      <w:r>
        <w:rPr>
          <w:color w:val="6E6158"/>
          <w:spacing w:val="35"/>
        </w:rPr>
        <w:t> </w:t>
      </w:r>
      <w:r>
        <w:rPr>
          <w:color w:val="6E6158"/>
        </w:rPr>
        <w:t>awards</w:t>
      </w:r>
      <w:r>
        <w:rPr>
          <w:color w:val="6E6158"/>
          <w:spacing w:val="35"/>
        </w:rPr>
        <w:t> </w:t>
      </w:r>
      <w:r>
        <w:rPr>
          <w:color w:val="6E6158"/>
        </w:rPr>
        <w:t>under</w:t>
      </w:r>
      <w:r>
        <w:rPr>
          <w:color w:val="6E6158"/>
          <w:spacing w:val="35"/>
        </w:rPr>
        <w:t> </w:t>
      </w:r>
      <w:r>
        <w:rPr>
          <w:color w:val="6E6158"/>
        </w:rPr>
        <w:t>Public</w:t>
      </w:r>
      <w:r>
        <w:rPr>
          <w:color w:val="6E6158"/>
          <w:spacing w:val="35"/>
        </w:rPr>
        <w:t> </w:t>
      </w:r>
      <w:r>
        <w:rPr>
          <w:color w:val="6E6158"/>
        </w:rPr>
        <w:t>Contract</w:t>
      </w:r>
      <w:r>
        <w:rPr>
          <w:color w:val="6E6158"/>
          <w:spacing w:val="35"/>
        </w:rPr>
        <w:t> </w:t>
      </w:r>
      <w:r>
        <w:rPr>
          <w:color w:val="6E6158"/>
        </w:rPr>
        <w:t>Code’s</w:t>
      </w:r>
      <w:r>
        <w:rPr>
          <w:color w:val="6E6158"/>
          <w:spacing w:val="35"/>
        </w:rPr>
        <w:t> </w:t>
      </w:r>
      <w:r>
        <w:rPr>
          <w:color w:val="6E6158"/>
        </w:rPr>
        <w:t>Subletting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Subcontracting</w:t>
      </w:r>
      <w:r>
        <w:rPr>
          <w:color w:val="6E6158"/>
          <w:spacing w:val="35"/>
        </w:rPr>
        <w:t> </w:t>
      </w:r>
      <w:r>
        <w:rPr>
          <w:color w:val="6E6158"/>
        </w:rPr>
        <w:t>Fair</w:t>
      </w:r>
      <w:r>
        <w:rPr>
          <w:color w:val="6E6158"/>
          <w:spacing w:val="35"/>
        </w:rPr>
        <w:t> </w:t>
      </w:r>
      <w:r>
        <w:rPr>
          <w:color w:val="6E6158"/>
        </w:rPr>
        <w:t>Practice</w:t>
      </w:r>
      <w:r>
        <w:rPr>
          <w:color w:val="6E6158"/>
          <w:spacing w:val="35"/>
        </w:rPr>
        <w:t> </w:t>
      </w:r>
      <w:r>
        <w:rPr>
          <w:color w:val="6E6158"/>
        </w:rPr>
        <w:t>Act.</w:t>
      </w:r>
    </w:p>
    <w:p>
      <w:pPr>
        <w:pStyle w:val="BodyText"/>
        <w:spacing w:line="302" w:lineRule="auto" w:before="198"/>
        <w:ind w:left="104" w:right="432"/>
      </w:pPr>
      <w:r>
        <w:rPr>
          <w:color w:val="6E6158"/>
        </w:rPr>
        <w:t>He has tried or arbitrated more than 30 construction disputes and successfully mediated </w:t>
      </w:r>
      <w:r>
        <w:rPr>
          <w:color w:val="6E6158"/>
        </w:rPr>
        <w:t>or</w:t>
      </w:r>
      <w:r>
        <w:rPr>
          <w:color w:val="6E6158"/>
          <w:spacing w:val="40"/>
        </w:rPr>
        <w:t> </w:t>
      </w:r>
      <w:r>
        <w:rPr>
          <w:color w:val="6E6158"/>
        </w:rPr>
        <w:t>resolved countless more.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On the transactional side, Matt has drafted and negotiated the contracts for the design and</w:t>
      </w:r>
      <w:r>
        <w:rPr>
          <w:color w:val="6E6158"/>
          <w:spacing w:val="40"/>
        </w:rPr>
        <w:t> </w:t>
      </w:r>
      <w:r>
        <w:rPr>
          <w:color w:val="6E6158"/>
        </w:rPr>
        <w:t>construction of a wide array of public and private projects including individual and multi-</w:t>
      </w:r>
      <w:r>
        <w:rPr>
          <w:color w:val="6E6158"/>
        </w:rPr>
        <w:t>family</w:t>
      </w:r>
      <w:r>
        <w:rPr>
          <w:color w:val="6E6158"/>
          <w:spacing w:val="40"/>
        </w:rPr>
        <w:t> </w:t>
      </w:r>
      <w:r>
        <w:rPr>
          <w:color w:val="6E6158"/>
        </w:rPr>
        <w:t>housing,</w:t>
      </w:r>
      <w:r>
        <w:rPr>
          <w:color w:val="6E6158"/>
          <w:spacing w:val="40"/>
        </w:rPr>
        <w:t> </w:t>
      </w:r>
      <w:r>
        <w:rPr>
          <w:color w:val="6E6158"/>
        </w:rPr>
        <w:t>hotels,</w:t>
      </w:r>
      <w:r>
        <w:rPr>
          <w:color w:val="6E6158"/>
          <w:spacing w:val="40"/>
        </w:rPr>
        <w:t> </w:t>
      </w:r>
      <w:r>
        <w:rPr>
          <w:color w:val="6E6158"/>
        </w:rPr>
        <w:t>hospitals,</w:t>
      </w:r>
      <w:r>
        <w:rPr>
          <w:color w:val="6E6158"/>
          <w:spacing w:val="40"/>
        </w:rPr>
        <w:t> </w:t>
      </w:r>
      <w:r>
        <w:rPr>
          <w:color w:val="6E6158"/>
        </w:rPr>
        <w:t>retail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buildings,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manufacturing</w:t>
      </w:r>
      <w:r>
        <w:rPr>
          <w:color w:val="6E6158"/>
          <w:spacing w:val="40"/>
        </w:rPr>
        <w:t> </w:t>
      </w:r>
      <w:r>
        <w:rPr>
          <w:color w:val="6E6158"/>
        </w:rPr>
        <w:t>facilities.</w:t>
      </w:r>
    </w:p>
    <w:p>
      <w:pPr>
        <w:pStyle w:val="BodyText"/>
        <w:spacing w:line="420" w:lineRule="auto" w:before="10"/>
        <w:ind w:left="356" w:right="6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65572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63197pt;width:1.65pt;height:1.65pt;mso-position-horizontal-relative:page;mso-position-vertical-relative:paragraph;z-index:15729152" id="docshape11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323938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6947pt;width:1.65pt;height:1.65pt;mso-position-horizontal-relative:page;mso-position-vertical-relative:paragraph;z-index:15729664" id="docshape12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56" w:right="4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152775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586pt;width:1.65pt;height:1.65pt;mso-position-horizontal-relative:page;mso-position-vertical-relative:paragraph;z-index:15730176" id="docshape1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209pt;width:1.65pt;height:1.65pt;mso-position-horizontal-relative:page;mso-position-vertical-relative:paragraph;z-index:15730688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Francisco, School of </w:t>
      </w:r>
      <w:r>
        <w:rPr>
          <w:color w:val="6E6158"/>
        </w:rPr>
        <w:t>Law</w:t>
      </w:r>
      <w:r>
        <w:rPr>
          <w:color w:val="6E6158"/>
        </w:rPr>
        <w:t> B.A., University of San Francisco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987pt;width:1.65pt;height:1.65pt;mso-position-horizontal-relative:page;mso-position-vertical-relative:paragraph;z-index:15731200" id="docshape15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410816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7736pt;width:1.65pt;height:1.65pt;mso-position-horizontal-relative:page;mso-position-vertical-relative:paragraph;z-index:15731712" id="docshape16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left="356"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251pt;width:1.65pt;height:1.65pt;mso-position-horizontal-relative:page;mso-position-vertical-relative:paragraph;z-index:15732224" id="docshape17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$15.5 million in delay damages and extras from the City of Beverly Hills for the</w:t>
      </w:r>
      <w:r>
        <w:rPr>
          <w:color w:val="6E6158"/>
          <w:spacing w:val="40"/>
        </w:rPr>
        <w:t> </w:t>
      </w:r>
      <w:r>
        <w:rPr>
          <w:color w:val="6E6158"/>
        </w:rPr>
        <w:t>general contractor who built the city’s new Civic Center.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356"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$1.8 million from one of the largest mechanical contractors in the U.S. who abandoned a winery project in Northern California. The total attorneys’ fees expended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the client in this matter were less than $125,000.</w:t>
      </w:r>
    </w:p>
    <w:p>
      <w:pPr>
        <w:pStyle w:val="BodyText"/>
        <w:spacing w:line="292" w:lineRule="auto" w:before="118"/>
        <w:ind w:left="356"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134690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5544pt;width:1.65pt;height:1.65pt;mso-position-horizontal-relative:page;mso-position-vertical-relative:paragraph;z-index:15733248" id="docshape19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contractor and subcontractor claims in excess of $2.5 million on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State of California’s Pelican Bay Prison Project.</w:t>
      </w:r>
    </w:p>
    <w:p>
      <w:pPr>
        <w:pStyle w:val="BodyText"/>
        <w:spacing w:line="302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138042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517pt;width:1.65pt;height:1.65pt;mso-position-horizontal-relative:page;mso-position-vertical-relative:paragraph;z-index:15733760" id="docshape2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over $20 million of contractor and subcontractor claims on the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</w:rPr>
        <w:t>Office Building in San Francisco.</w:t>
      </w:r>
    </w:p>
    <w:p>
      <w:pPr>
        <w:pStyle w:val="BodyText"/>
        <w:spacing w:line="292" w:lineRule="auto" w:before="112"/>
        <w:ind w:left="356" w:right="2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130918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855pt;width:1.65pt;height:1.65pt;mso-position-horizontal-relative:page;mso-position-vertical-relative:paragraph;z-index:15734272" id="docshape21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a surety’s payment of more than $2.5 million from the City of Los</w:t>
      </w:r>
      <w:r>
        <w:rPr>
          <w:color w:val="6E6158"/>
          <w:spacing w:val="40"/>
        </w:rPr>
        <w:t> </w:t>
      </w:r>
      <w:r>
        <w:rPr>
          <w:color w:val="6E6158"/>
        </w:rPr>
        <w:t>Angeles to a general contractor client and its surety for delays on several projects taken over</w:t>
      </w:r>
      <w:r>
        <w:rPr>
          <w:color w:val="6E6158"/>
          <w:spacing w:val="40"/>
        </w:rPr>
        <w:t> </w:t>
      </w:r>
      <w:r>
        <w:rPr>
          <w:color w:val="6E6158"/>
        </w:rPr>
        <w:t>by the client after abandonment by the previous contractor.</w:t>
      </w:r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143634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9822pt;width:1.65pt;height:1.65pt;mso-position-horizontal-relative:page;mso-position-vertical-relative:paragraph;z-index:15734784" id="docshape22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the resolution of claims in excess of $1 million on AC Transit’s </w:t>
      </w:r>
      <w:r>
        <w:rPr>
          <w:color w:val="6E6158"/>
        </w:rPr>
        <w:t>Oakland</w:t>
      </w:r>
      <w:r>
        <w:rPr>
          <w:color w:val="6E6158"/>
          <w:spacing w:val="40"/>
        </w:rPr>
        <w:t> </w:t>
      </w:r>
      <w:r>
        <w:rPr>
          <w:color w:val="6E6158"/>
        </w:rPr>
        <w:t>headquarters building.</w:t>
      </w:r>
    </w:p>
    <w:p>
      <w:pPr>
        <w:pStyle w:val="BodyText"/>
        <w:spacing w:line="295" w:lineRule="auto"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138097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796pt;width:1.65pt;height:1.65pt;mso-position-horizontal-relative:page;mso-position-vertical-relative:paragraph;z-index:15735296" id="docshape2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arbitration</w:t>
      </w:r>
      <w:r>
        <w:rPr>
          <w:color w:val="6E6158"/>
          <w:spacing w:val="28"/>
        </w:rPr>
        <w:t> </w:t>
      </w:r>
      <w:r>
        <w:rPr>
          <w:color w:val="6E6158"/>
        </w:rPr>
        <w:t>$1.2</w:t>
      </w:r>
      <w:r>
        <w:rPr>
          <w:color w:val="6E6158"/>
          <w:spacing w:val="28"/>
        </w:rPr>
        <w:t> </w:t>
      </w:r>
      <w:r>
        <w:rPr>
          <w:color w:val="6E6158"/>
        </w:rPr>
        <w:t>million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delay</w:t>
      </w:r>
      <w:r>
        <w:rPr>
          <w:color w:val="6E6158"/>
          <w:spacing w:val="28"/>
        </w:rPr>
        <w:t> </w:t>
      </w:r>
      <w:r>
        <w:rPr>
          <w:color w:val="6E6158"/>
        </w:rPr>
        <w:t>damages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general</w:t>
      </w:r>
      <w:r>
        <w:rPr>
          <w:color w:val="6E6158"/>
          <w:spacing w:val="28"/>
        </w:rPr>
        <w:t> </w:t>
      </w:r>
      <w:r>
        <w:rPr>
          <w:color w:val="6E6158"/>
        </w:rPr>
        <w:t>contractor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a national hotel chain for delays suffered on a new hotel construction. Working with opposing</w:t>
      </w:r>
      <w:r>
        <w:rPr>
          <w:color w:val="6E6158"/>
          <w:spacing w:val="40"/>
        </w:rPr>
        <w:t> </w:t>
      </w:r>
      <w:r>
        <w:rPr>
          <w:color w:val="6E6158"/>
        </w:rPr>
        <w:t>counsel and an independent arbitrator, was able to format the ground rules for a one week arbitration (for a matter that would have taken at least six weeks to try) in order to reduce the</w:t>
      </w:r>
      <w:r>
        <w:rPr>
          <w:color w:val="6E6158"/>
          <w:spacing w:val="40"/>
        </w:rPr>
        <w:t> </w:t>
      </w:r>
      <w:r>
        <w:rPr>
          <w:color w:val="6E6158"/>
        </w:rPr>
        <w:t>attorneys’ fees and costs to all parties.</w:t>
      </w:r>
    </w:p>
    <w:p>
      <w:pPr>
        <w:pStyle w:val="BodyText"/>
        <w:spacing w:line="292" w:lineRule="auto" w:before="129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141737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60406pt;width:1.65pt;height:1.65pt;mso-position-horizontal-relative:page;mso-position-vertical-relative:paragraph;z-index:15735808" id="docshape24" coordorigin="1675,223" coordsize="33,33" path="m1696,256l1687,256,1683,254,1676,248,1675,244,1675,235,1676,231,1683,225,1687,223,1696,223,1699,225,1706,231,1707,235,1707,239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more than $4 million in subcontractor claims on the Theo Lacy Jail in</w:t>
      </w:r>
      <w:r>
        <w:rPr>
          <w:color w:val="6E6158"/>
          <w:spacing w:val="40"/>
        </w:rPr>
        <w:t> </w:t>
      </w:r>
      <w:r>
        <w:rPr>
          <w:color w:val="6E6158"/>
        </w:rPr>
        <w:t>Orange County.</w:t>
      </w:r>
    </w:p>
    <w:p>
      <w:pPr>
        <w:pStyle w:val="BodyText"/>
        <w:spacing w:line="292" w:lineRule="auto" w:before="124"/>
        <w:ind w:left="356"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138104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379pt;width:1.65pt;height:1.65pt;mso-position-horizontal-relative:page;mso-position-vertical-relative:paragraph;z-index:15736320" id="docshape2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$950,000 (including attorneys’ fees) for a property owner after a three week </w:t>
      </w:r>
      <w:r>
        <w:rPr>
          <w:color w:val="6E6158"/>
        </w:rPr>
        <w:t>jury</w:t>
      </w:r>
      <w:r>
        <w:rPr>
          <w:color w:val="6E6158"/>
          <w:spacing w:val="40"/>
        </w:rPr>
        <w:t> </w:t>
      </w:r>
      <w:r>
        <w:rPr>
          <w:color w:val="6E6158"/>
        </w:rPr>
        <w:t>trial for damage to property caused by earth movement.</w:t>
      </w:r>
    </w:p>
    <w:p>
      <w:pPr>
        <w:pStyle w:val="BodyText"/>
        <w:spacing w:line="292" w:lineRule="auto" w:before="131"/>
        <w:ind w:left="356" w:righ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142814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228pt;width:1.65pt;height:1.65pt;mso-position-horizontal-relative:page;mso-position-vertical-relative:paragraph;z-index:15736832" id="docshape26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$875,000 (including attorneys’ fees) from a developer after a two week trial for a</w:t>
      </w:r>
      <w:r>
        <w:rPr>
          <w:color w:val="6E6158"/>
          <w:spacing w:val="40"/>
        </w:rPr>
        <w:t> </w:t>
      </w:r>
      <w:r>
        <w:rPr>
          <w:color w:val="6E6158"/>
        </w:rPr>
        <w:t>local general contractor who had been unfairly backcharged by the developer.</w:t>
      </w:r>
    </w:p>
    <w:p>
      <w:pPr>
        <w:pStyle w:val="BodyText"/>
        <w:spacing w:line="297" w:lineRule="auto" w:before="123"/>
        <w:ind w:left="356" w:right="2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137911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201pt;width:1.65pt;height:1.65pt;mso-position-horizontal-relative:page;mso-position-vertical-relative:paragraph;z-index:15737344" id="docshape2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on behalf of the owner and general contractor of a large hotel in San</w:t>
      </w:r>
      <w:r>
        <w:rPr>
          <w:color w:val="6E6158"/>
          <w:spacing w:val="40"/>
        </w:rPr>
        <w:t> </w:t>
      </w:r>
      <w:r>
        <w:rPr>
          <w:color w:val="6E6158"/>
        </w:rPr>
        <w:t>Francisco the settlement of some twenty subcontractor claims for project acceleration in the</w:t>
      </w:r>
      <w:r>
        <w:rPr>
          <w:color w:val="6E6158"/>
          <w:spacing w:val="40"/>
        </w:rPr>
        <w:t> </w:t>
      </w:r>
      <w:r>
        <w:rPr>
          <w:color w:val="6E6158"/>
        </w:rPr>
        <w:t>total amount of $7 million.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152455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345pt;width:1.65pt;height:1.65pt;mso-position-horizontal-relative:page;mso-position-vertical-relative:paragraph;z-index:15737856" id="docshape2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 America</w:t>
      </w:r>
      <w:r>
        <w:rPr>
          <w:color w:val="6E6158"/>
          <w:sz w:val="19"/>
        </w:rPr>
        <w:t>®,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42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152658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319pt;width:1.65pt;height:1.65pt;mso-position-horizontal-relative:page;mso-position-vertical-relative:paragraph;z-index:15738368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416190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943pt;width:1.65pt;height:1.65pt;mso-position-horizontal-relative:page;mso-position-vertical-relative:paragraph;z-index:15738880" id="docshape3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Association Member, St. Thomas More Society of San </w:t>
      </w:r>
      <w:r>
        <w:rPr>
          <w:color w:val="6E6158"/>
        </w:rPr>
        <w:t>Francisco</w:t>
      </w:r>
    </w:p>
    <w:p>
      <w:pPr>
        <w:pStyle w:val="BodyText"/>
        <w:spacing w:line="420" w:lineRule="auto"/>
        <w:ind w:left="356" w:right="30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54595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8863pt;width:1.65pt;height:1.65pt;mso-position-horizontal-relative:page;mso-position-vertical-relative:paragraph;z-index:15739392" id="docshape31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312961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2612pt;width:1.65pt;height:1.65pt;mso-position-horizontal-relative:page;mso-position-vertical-relative:paragraph;z-index:15739904" id="docshape32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Alpha Sigma Nu National Jesuit Honor </w:t>
      </w:r>
      <w:r>
        <w:rPr>
          <w:color w:val="6E6158"/>
        </w:rPr>
        <w:t>Society Member, San Francisco Bay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53586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19393pt;width:1.65pt;height:1.65pt;mso-position-horizontal-relative:page;mso-position-vertical-relative:paragraph;z-index:15740416" id="docshape33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152841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748pt;width:1.65pt;height:1.65pt;mso-position-horizontal-relative:page;mso-position-vertical-relative:paragraph;z-index:15740928" id="docshape3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walnut-creek/" TargetMode="External"/><Relationship Id="rId10" Type="http://schemas.openxmlformats.org/officeDocument/2006/relationships/hyperlink" Target="mailto:mgraham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2024-12-04T08:42:47Z</dcterms:created>
  <dcterms:modified xsi:type="dcterms:W3CDTF">2024-12-04T08:42:47Z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