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31629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871608" y="763308"/>
                            <a:ext cx="1369695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MICHAEL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E.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BUCKLEY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Real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301464" y="2133494"/>
                            <a:ext cx="50990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Las</w:t>
                                </w:r>
                                <w:r>
                                  <w:rPr>
                                    <w:color w:val="FFFFFF"/>
                                    <w:spacing w:val="2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Vegas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490519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702.692.8006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834908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702.692.8086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762610" y="2500373"/>
                            <a:ext cx="15875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mbuckley@fennemorelaw.com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49.05pt;mso-position-horizontal-relative:page;mso-position-vertical-relative:page;z-index:15728640" id="docshapegroup1" coordorigin="1341,560" coordsize="9554,4981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557" type="#_x0000_t75" id="docshape3" stroked="false">
                  <v:imagedata r:id="rId7" o:title=""/>
                </v:shape>
                <v:rect style="position:absolute;left:6117;top:983;width:4777;height:4557" id="docshape4" filled="true" fillcolor="#262424" stroked="false">
                  <v:fill type="solid"/>
                </v:rect>
                <v:shape style="position:absolute;left:6842;top:3147;width:3337;height:505" id="docshape5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438;top:1762;width:2157;height:1731" type="#_x0000_t202" id="docshape6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MICHAEL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E.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BUCKLEY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Real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115;top:3919;width:803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Las</w:t>
                          </w:r>
                          <w:r>
                            <w:rPr>
                              <w:color w:val="FFFFFF"/>
                              <w:spacing w:val="2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Vegas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838;top:4172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702.692.8006</w:t>
                        </w:r>
                      </w:p>
                    </w:txbxContent>
                  </v:textbox>
                  <w10:wrap type="none"/>
                </v:shape>
                <v:shape style="position:absolute;left:8955;top:4172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702.692.8086</w:t>
                        </w:r>
                      </w:p>
                    </w:txbxContent>
                  </v:textbox>
                  <w10:wrap type="none"/>
                </v:shape>
                <v:shape style="position:absolute;left:7266;top:4497;width:2500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mbuckley@fennemorelaw.com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spacing w:before="121"/>
        <w:ind w:left="0"/>
        <w:rPr>
          <w:rFonts w:ascii="Times New Roman"/>
          <w:sz w:val="24"/>
        </w:rPr>
      </w:pPr>
    </w:p>
    <w:p>
      <w:pPr>
        <w:spacing w:before="0"/>
        <w:ind w:left="10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MICHAEL</w:t>
      </w:r>
      <w:r>
        <w:rPr>
          <w:b/>
          <w:color w:val="002E6B"/>
          <w:spacing w:val="7"/>
          <w:sz w:val="24"/>
        </w:rPr>
        <w:t> </w:t>
      </w:r>
      <w:r>
        <w:rPr>
          <w:b/>
          <w:color w:val="002E6B"/>
          <w:sz w:val="24"/>
        </w:rPr>
        <w:t>E.</w:t>
      </w:r>
      <w:r>
        <w:rPr>
          <w:b/>
          <w:color w:val="002E6B"/>
          <w:spacing w:val="7"/>
          <w:sz w:val="24"/>
        </w:rPr>
        <w:t> </w:t>
      </w:r>
      <w:r>
        <w:rPr>
          <w:b/>
          <w:color w:val="002E6B"/>
          <w:spacing w:val="-2"/>
          <w:sz w:val="24"/>
        </w:rPr>
        <w:t>BUCKLEY</w:t>
      </w:r>
    </w:p>
    <w:p>
      <w:pPr>
        <w:pStyle w:val="BodyText"/>
        <w:spacing w:line="295" w:lineRule="auto" w:before="146"/>
        <w:ind w:left="104" w:right="390"/>
      </w:pPr>
      <w:r>
        <w:rPr>
          <w:color w:val="6E6158"/>
        </w:rPr>
        <w:t>Michael E. Buckley’s practice involves commercial real estate transactions with an emphasis </w:t>
      </w:r>
      <w:r>
        <w:rPr>
          <w:color w:val="6E6158"/>
        </w:rPr>
        <w:t>on</w:t>
      </w:r>
      <w:r>
        <w:rPr>
          <w:color w:val="6E6158"/>
          <w:spacing w:val="40"/>
        </w:rPr>
        <w:t> </w:t>
      </w:r>
      <w:r>
        <w:rPr>
          <w:color w:val="6E6158"/>
        </w:rPr>
        <w:t>commercial mortgage loans, including construction loans, workouts and foreclosures;</w:t>
      </w:r>
      <w:r>
        <w:rPr>
          <w:color w:val="6E6158"/>
          <w:spacing w:val="80"/>
        </w:rPr>
        <w:t> </w:t>
      </w:r>
      <w:r>
        <w:rPr>
          <w:color w:val="6E6158"/>
        </w:rPr>
        <w:t>acquisitions and dispositions of commercial properties, from vacant land to shopping center</w:t>
      </w:r>
      <w:r>
        <w:rPr>
          <w:color w:val="6E6158"/>
          <w:spacing w:val="40"/>
        </w:rPr>
        <w:t> </w:t>
      </w:r>
      <w:r>
        <w:rPr>
          <w:color w:val="6E6158"/>
        </w:rPr>
        <w:t>properties and golf courses; commercial leases, including ground leases; and master-planned</w:t>
      </w:r>
      <w:r>
        <w:rPr>
          <w:color w:val="6E6158"/>
          <w:spacing w:val="40"/>
        </w:rPr>
        <w:t> </w:t>
      </w:r>
      <w:r>
        <w:rPr>
          <w:color w:val="6E6158"/>
        </w:rPr>
        <w:t>communities. He has experience in land use issues, municipal development agreements and</w:t>
      </w:r>
      <w:r>
        <w:rPr>
          <w:color w:val="6E6158"/>
          <w:spacing w:val="40"/>
        </w:rPr>
        <w:t> </w:t>
      </w:r>
      <w:r>
        <w:rPr>
          <w:color w:val="6E6158"/>
        </w:rPr>
        <w:t>residential and mixed-use projects CC&amp;Rs. His clients have included financial institutions and</w:t>
      </w:r>
      <w:r>
        <w:rPr>
          <w:color w:val="6E6158"/>
          <w:spacing w:val="80"/>
        </w:rPr>
        <w:t> </w:t>
      </w:r>
      <w:r>
        <w:rPr>
          <w:color w:val="6E6158"/>
        </w:rPr>
        <w:t>other lenders, developers, public entities and nonprofits.</w:t>
      </w:r>
    </w:p>
    <w:p>
      <w:pPr>
        <w:pStyle w:val="BodyText"/>
        <w:spacing w:line="295" w:lineRule="auto" w:before="200"/>
        <w:ind w:left="104" w:right="333"/>
      </w:pPr>
      <w:r>
        <w:rPr>
          <w:color w:val="6E6158"/>
        </w:rPr>
        <w:t>As a founding member and chair of the Real Property Section of the State Bar of Nevada,</w:t>
      </w:r>
      <w:r>
        <w:rPr>
          <w:color w:val="6E6158"/>
          <w:spacing w:val="40"/>
        </w:rPr>
        <w:t> </w:t>
      </w:r>
      <w:r>
        <w:rPr>
          <w:color w:val="6E6158"/>
        </w:rPr>
        <w:t>Michael has been instrumental in the enactment of the Section’s legislative proposals and</w:t>
      </w:r>
      <w:r>
        <w:rPr>
          <w:color w:val="6E6158"/>
          <w:spacing w:val="40"/>
        </w:rPr>
        <w:t> </w:t>
      </w:r>
      <w:r>
        <w:rPr>
          <w:color w:val="6E6158"/>
        </w:rPr>
        <w:t>Nevada’s enactment of uniform laws such as the Uniform Commercial Real Estate Receivership</w:t>
      </w:r>
      <w:r>
        <w:rPr>
          <w:color w:val="6E6158"/>
          <w:spacing w:val="40"/>
        </w:rPr>
        <w:t> </w:t>
      </w:r>
      <w:r>
        <w:rPr>
          <w:color w:val="6E6158"/>
        </w:rPr>
        <w:t>Act (2017).</w:t>
      </w:r>
    </w:p>
    <w:p>
      <w:pPr>
        <w:pStyle w:val="BodyText"/>
        <w:spacing w:line="292" w:lineRule="auto" w:before="196"/>
        <w:ind w:left="104" w:right="136"/>
      </w:pPr>
      <w:r>
        <w:rPr>
          <w:color w:val="6E6158"/>
        </w:rPr>
        <w:t>Michael</w:t>
      </w:r>
      <w:r>
        <w:rPr>
          <w:color w:val="6E6158"/>
          <w:spacing w:val="13"/>
        </w:rPr>
        <w:t> </w:t>
      </w:r>
      <w:r>
        <w:rPr>
          <w:color w:val="6E6158"/>
        </w:rPr>
        <w:t>remains</w:t>
      </w:r>
      <w:r>
        <w:rPr>
          <w:color w:val="6E6158"/>
          <w:spacing w:val="12"/>
        </w:rPr>
        <w:t> </w:t>
      </w:r>
      <w:r>
        <w:rPr>
          <w:color w:val="6E6158"/>
        </w:rPr>
        <w:t>close</w:t>
      </w:r>
      <w:r>
        <w:rPr>
          <w:color w:val="6E6158"/>
          <w:spacing w:val="13"/>
        </w:rPr>
        <w:t> </w:t>
      </w:r>
      <w:r>
        <w:rPr>
          <w:color w:val="6E6158"/>
        </w:rPr>
        <w:t>to</w:t>
      </w:r>
      <w:r>
        <w:rPr>
          <w:color w:val="6E6158"/>
          <w:spacing w:val="12"/>
        </w:rPr>
        <w:t> </w:t>
      </w:r>
      <w:r>
        <w:rPr>
          <w:color w:val="6E6158"/>
        </w:rPr>
        <w:t>his</w:t>
      </w:r>
      <w:r>
        <w:rPr>
          <w:color w:val="6E6158"/>
          <w:spacing w:val="13"/>
        </w:rPr>
        <w:t> </w:t>
      </w:r>
      <w:r>
        <w:rPr>
          <w:color w:val="6E6158"/>
        </w:rPr>
        <w:t>English</w:t>
      </w:r>
      <w:r>
        <w:rPr>
          <w:color w:val="6E6158"/>
          <w:spacing w:val="12"/>
        </w:rPr>
        <w:t> </w:t>
      </w:r>
      <w:r>
        <w:rPr>
          <w:color w:val="6E6158"/>
        </w:rPr>
        <w:t>major</w:t>
      </w:r>
      <w:r>
        <w:rPr>
          <w:color w:val="6E6158"/>
          <w:spacing w:val="13"/>
        </w:rPr>
        <w:t> </w:t>
      </w:r>
      <w:r>
        <w:rPr>
          <w:color w:val="6E6158"/>
        </w:rPr>
        <w:t>roots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Jesuit</w:t>
      </w:r>
      <w:r>
        <w:rPr>
          <w:color w:val="6E6158"/>
          <w:spacing w:val="12"/>
        </w:rPr>
        <w:t> </w:t>
      </w:r>
      <w:r>
        <w:rPr>
          <w:color w:val="6E6158"/>
        </w:rPr>
        <w:t>education.</w:t>
      </w:r>
      <w:r>
        <w:rPr>
          <w:color w:val="6E6158"/>
          <w:spacing w:val="13"/>
        </w:rPr>
        <w:t> </w:t>
      </w:r>
      <w:r>
        <w:rPr>
          <w:color w:val="6E6158"/>
        </w:rPr>
        <w:t>As</w:t>
      </w:r>
      <w:r>
        <w:rPr>
          <w:color w:val="6E6158"/>
          <w:spacing w:val="12"/>
        </w:rPr>
        <w:t> </w:t>
      </w:r>
      <w:r>
        <w:rPr>
          <w:color w:val="6E6158"/>
        </w:rPr>
        <w:t>one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nine</w:t>
      </w:r>
      <w:r>
        <w:rPr>
          <w:color w:val="6E6158"/>
          <w:spacing w:val="13"/>
        </w:rPr>
        <w:t> </w:t>
      </w:r>
      <w:r>
        <w:rPr>
          <w:color w:val="6E6158"/>
        </w:rPr>
        <w:t>children,</w:t>
      </w:r>
      <w:r>
        <w:rPr>
          <w:color w:val="6E6158"/>
          <w:spacing w:val="12"/>
        </w:rPr>
        <w:t> </w:t>
      </w:r>
      <w:r>
        <w:rPr>
          <w:color w:val="6E6158"/>
        </w:rPr>
        <w:t>he is the family historian. He spent a year abroad living outside Cambridge, England and traveling</w:t>
      </w:r>
      <w:r>
        <w:rPr>
          <w:color w:val="6E6158"/>
          <w:spacing w:val="40"/>
        </w:rPr>
        <w:t> </w:t>
      </w:r>
      <w:r>
        <w:rPr>
          <w:color w:val="6E6158"/>
        </w:rPr>
        <w:t>Europe</w:t>
      </w:r>
      <w:r>
        <w:rPr>
          <w:color w:val="6E6158"/>
          <w:spacing w:val="17"/>
        </w:rPr>
        <w:t> </w:t>
      </w:r>
      <w:r>
        <w:rPr>
          <w:color w:val="6E6158"/>
        </w:rPr>
        <w:t>with</w:t>
      </w:r>
      <w:r>
        <w:rPr>
          <w:color w:val="6E6158"/>
          <w:spacing w:val="17"/>
        </w:rPr>
        <w:t> </w:t>
      </w:r>
      <w:r>
        <w:rPr>
          <w:color w:val="6E6158"/>
        </w:rPr>
        <w:t>his</w:t>
      </w:r>
      <w:r>
        <w:rPr>
          <w:color w:val="6E6158"/>
          <w:spacing w:val="17"/>
        </w:rPr>
        <w:t> </w:t>
      </w:r>
      <w:r>
        <w:rPr>
          <w:color w:val="6E6158"/>
        </w:rPr>
        <w:t>wife</w:t>
      </w:r>
      <w:r>
        <w:rPr>
          <w:color w:val="6E6158"/>
          <w:spacing w:val="17"/>
        </w:rPr>
        <w:t> </w:t>
      </w:r>
      <w:r>
        <w:rPr>
          <w:color w:val="6E6158"/>
        </w:rPr>
        <w:t>and</w:t>
      </w:r>
      <w:r>
        <w:rPr>
          <w:color w:val="6E6158"/>
          <w:spacing w:val="17"/>
        </w:rPr>
        <w:t> </w:t>
      </w:r>
      <w:r>
        <w:rPr>
          <w:color w:val="6E6158"/>
        </w:rPr>
        <w:t>four</w:t>
      </w:r>
      <w:r>
        <w:rPr>
          <w:color w:val="6E6158"/>
          <w:spacing w:val="17"/>
        </w:rPr>
        <w:t> </w:t>
      </w:r>
      <w:r>
        <w:rPr>
          <w:color w:val="6E6158"/>
        </w:rPr>
        <w:t>children.</w:t>
      </w:r>
      <w:r>
        <w:rPr>
          <w:color w:val="6E6158"/>
          <w:spacing w:val="17"/>
        </w:rPr>
        <w:t> </w:t>
      </w:r>
      <w:r>
        <w:rPr>
          <w:color w:val="6E6158"/>
        </w:rPr>
        <w:t>He</w:t>
      </w:r>
      <w:r>
        <w:rPr>
          <w:color w:val="6E6158"/>
          <w:spacing w:val="17"/>
        </w:rPr>
        <w:t> </w:t>
      </w:r>
      <w:r>
        <w:rPr>
          <w:color w:val="6E6158"/>
        </w:rPr>
        <w:t>is</w:t>
      </w:r>
      <w:r>
        <w:rPr>
          <w:color w:val="6E6158"/>
          <w:spacing w:val="17"/>
        </w:rPr>
        <w:t> </w:t>
      </w:r>
      <w:r>
        <w:rPr>
          <w:color w:val="6E6158"/>
        </w:rPr>
        <w:t>a</w:t>
      </w:r>
      <w:r>
        <w:rPr>
          <w:color w:val="6E6158"/>
          <w:spacing w:val="17"/>
        </w:rPr>
        <w:t> </w:t>
      </w:r>
      <w:r>
        <w:rPr>
          <w:color w:val="6E6158"/>
        </w:rPr>
        <w:t>published</w:t>
      </w:r>
      <w:r>
        <w:rPr>
          <w:color w:val="6E6158"/>
          <w:spacing w:val="17"/>
        </w:rPr>
        <w:t> </w:t>
      </w:r>
      <w:r>
        <w:rPr>
          <w:color w:val="6E6158"/>
        </w:rPr>
        <w:t>poet</w:t>
      </w:r>
      <w:r>
        <w:rPr>
          <w:color w:val="6E6158"/>
          <w:spacing w:val="17"/>
        </w:rPr>
        <w:t> </w:t>
      </w:r>
      <w:r>
        <w:rPr>
          <w:color w:val="6E6158"/>
        </w:rPr>
        <w:t>(</w:t>
      </w:r>
      <w:r>
        <w:rPr>
          <w:i/>
          <w:color w:val="6E6158"/>
          <w:sz w:val="20"/>
        </w:rPr>
        <w:t>Sandstone &amp; Silver</w:t>
      </w:r>
      <w:r>
        <w:rPr>
          <w:color w:val="6E6158"/>
        </w:rPr>
        <w:t>,</w:t>
      </w:r>
      <w:r>
        <w:rPr>
          <w:color w:val="6E6158"/>
          <w:spacing w:val="17"/>
        </w:rPr>
        <w:t> </w:t>
      </w:r>
      <w:r>
        <w:rPr>
          <w:color w:val="6E6158"/>
        </w:rPr>
        <w:t>an</w:t>
      </w:r>
      <w:r>
        <w:rPr>
          <w:color w:val="6E6158"/>
          <w:spacing w:val="17"/>
        </w:rPr>
        <w:t> </w:t>
      </w:r>
      <w:r>
        <w:rPr>
          <w:color w:val="6E6158"/>
        </w:rPr>
        <w:t>anthology of Nevada poets [Zeitgeist Press, 2019]). Michael served for several years as a board member of</w:t>
      </w:r>
      <w:r>
        <w:rPr>
          <w:color w:val="6E6158"/>
          <w:spacing w:val="40"/>
        </w:rPr>
        <w:t> </w:t>
      </w:r>
      <w:r>
        <w:rPr>
          <w:color w:val="6E6158"/>
        </w:rPr>
        <w:t>Stillpoint</w:t>
      </w:r>
      <w:r>
        <w:rPr>
          <w:color w:val="6E6158"/>
          <w:spacing w:val="31"/>
        </w:rPr>
        <w:t> </w:t>
      </w:r>
      <w:r>
        <w:rPr>
          <w:color w:val="6E6158"/>
        </w:rPr>
        <w:t>Center</w:t>
      </w:r>
      <w:r>
        <w:rPr>
          <w:color w:val="6E6158"/>
          <w:spacing w:val="31"/>
        </w:rPr>
        <w:t> </w:t>
      </w:r>
      <w:r>
        <w:rPr>
          <w:color w:val="6E6158"/>
        </w:rPr>
        <w:t>for</w:t>
      </w:r>
      <w:r>
        <w:rPr>
          <w:color w:val="6E6158"/>
          <w:spacing w:val="31"/>
        </w:rPr>
        <w:t> </w:t>
      </w:r>
      <w:r>
        <w:rPr>
          <w:color w:val="6E6158"/>
        </w:rPr>
        <w:t>Spiritual</w:t>
      </w:r>
      <w:r>
        <w:rPr>
          <w:color w:val="6E6158"/>
          <w:spacing w:val="31"/>
        </w:rPr>
        <w:t> </w:t>
      </w:r>
      <w:r>
        <w:rPr>
          <w:color w:val="6E6158"/>
        </w:rPr>
        <w:t>Development,</w:t>
      </w:r>
      <w:r>
        <w:rPr>
          <w:color w:val="6E6158"/>
          <w:spacing w:val="31"/>
        </w:rPr>
        <w:t> </w:t>
      </w:r>
      <w:r>
        <w:rPr>
          <w:color w:val="6E6158"/>
        </w:rPr>
        <w:t>an</w:t>
      </w:r>
      <w:r>
        <w:rPr>
          <w:color w:val="6E6158"/>
          <w:spacing w:val="31"/>
        </w:rPr>
        <w:t> </w:t>
      </w:r>
      <w:r>
        <w:rPr>
          <w:color w:val="6E6158"/>
        </w:rPr>
        <w:t>important</w:t>
      </w:r>
      <w:r>
        <w:rPr>
          <w:color w:val="6E6158"/>
          <w:spacing w:val="31"/>
        </w:rPr>
        <w:t> </w:t>
      </w:r>
      <w:r>
        <w:rPr>
          <w:color w:val="6E6158"/>
        </w:rPr>
        <w:t>contributor</w:t>
      </w:r>
      <w:r>
        <w:rPr>
          <w:color w:val="6E6158"/>
          <w:spacing w:val="31"/>
        </w:rPr>
        <w:t> </w:t>
      </w:r>
      <w:r>
        <w:rPr>
          <w:color w:val="6E6158"/>
        </w:rPr>
        <w:t>to</w:t>
      </w:r>
      <w:r>
        <w:rPr>
          <w:color w:val="6E6158"/>
          <w:spacing w:val="31"/>
        </w:rPr>
        <w:t> </w:t>
      </w:r>
      <w:r>
        <w:rPr>
          <w:color w:val="6E6158"/>
        </w:rPr>
        <w:t>the</w:t>
      </w:r>
      <w:r>
        <w:rPr>
          <w:color w:val="6E6158"/>
          <w:spacing w:val="31"/>
        </w:rPr>
        <w:t> </w:t>
      </w:r>
      <w:r>
        <w:rPr>
          <w:color w:val="6E6158"/>
        </w:rPr>
        <w:t>“other”</w:t>
      </w:r>
      <w:r>
        <w:rPr>
          <w:color w:val="6E6158"/>
          <w:spacing w:val="31"/>
        </w:rPr>
        <w:t> </w:t>
      </w:r>
      <w:r>
        <w:rPr>
          <w:color w:val="6E6158"/>
        </w:rPr>
        <w:t>Las</w:t>
      </w:r>
      <w:r>
        <w:rPr>
          <w:color w:val="6E6158"/>
          <w:spacing w:val="31"/>
        </w:rPr>
        <w:t> </w:t>
      </w:r>
      <w:r>
        <w:rPr>
          <w:color w:val="6E6158"/>
        </w:rPr>
        <w:t>Vegas.</w:t>
      </w:r>
    </w:p>
    <w:p>
      <w:pPr>
        <w:pStyle w:val="BodyText"/>
        <w:spacing w:line="292" w:lineRule="auto" w:before="5"/>
        <w:ind w:left="104" w:right="390"/>
      </w:pPr>
      <w:r>
        <w:rPr>
          <w:color w:val="6E6158"/>
        </w:rPr>
        <w:t>Michael enjoys traveling, having accompanied his father on Hilton Foundation funded </w:t>
      </w:r>
      <w:r>
        <w:rPr>
          <w:color w:val="6E6158"/>
        </w:rPr>
        <w:t>projects</w:t>
      </w:r>
      <w:r>
        <w:rPr>
          <w:color w:val="6E6158"/>
          <w:spacing w:val="80"/>
        </w:rPr>
        <w:t> </w:t>
      </w:r>
      <w:r>
        <w:rPr>
          <w:color w:val="6E6158"/>
        </w:rPr>
        <w:t>in Haiti, Western Africa, Poland, Brazil, and Vietnam.</w:t>
      </w:r>
    </w:p>
    <w:p>
      <w:pPr>
        <w:pStyle w:val="Heading1"/>
        <w:spacing w:before="162"/>
      </w:pPr>
      <w:r>
        <w:rPr>
          <w:color w:val="FF8100"/>
          <w:spacing w:val="-2"/>
        </w:rPr>
        <w:t>EDUCATION</w:t>
      </w:r>
    </w:p>
    <w:p>
      <w:pPr>
        <w:pStyle w:val="BodyText"/>
        <w:spacing w:before="137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152876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7532pt;width:1.65pt;height:1.65pt;mso-position-horizontal-relative:page;mso-position-vertical-relative:paragraph;z-index:15729152" id="docshape11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8"/>
        </w:rPr>
        <w:t> </w:t>
      </w:r>
      <w:r>
        <w:rPr>
          <w:color w:val="6E6158"/>
        </w:rPr>
        <w:t>Santa</w:t>
      </w:r>
      <w:r>
        <w:rPr>
          <w:color w:val="6E6158"/>
          <w:spacing w:val="8"/>
        </w:rPr>
        <w:t> </w:t>
      </w:r>
      <w:r>
        <w:rPr>
          <w:color w:val="6E6158"/>
        </w:rPr>
        <w:t>Clara</w:t>
      </w:r>
      <w:r>
        <w:rPr>
          <w:color w:val="6E6158"/>
          <w:spacing w:val="8"/>
        </w:rPr>
        <w:t> </w:t>
      </w:r>
      <w:r>
        <w:rPr>
          <w:color w:val="6E6158"/>
        </w:rPr>
        <w:t>University</w:t>
      </w:r>
      <w:r>
        <w:rPr>
          <w:color w:val="6E6158"/>
          <w:spacing w:val="8"/>
        </w:rPr>
        <w:t> </w:t>
      </w:r>
      <w:r>
        <w:rPr>
          <w:color w:val="6E6158"/>
        </w:rPr>
        <w:t>School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8"/>
        </w:rPr>
        <w:t> </w:t>
      </w:r>
      <w:r>
        <w:rPr>
          <w:color w:val="6E6158"/>
        </w:rPr>
        <w:t>Law,</w:t>
      </w:r>
      <w:r>
        <w:rPr>
          <w:color w:val="6E6158"/>
          <w:spacing w:val="9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6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before="1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168535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70539pt;width:1.65pt;height:1.65pt;mso-position-horizontal-relative:page;mso-position-vertical-relative:paragraph;z-index:15729664" id="docshape12" coordorigin="1675,265" coordsize="33,33" path="m1696,298l1687,298,1683,296,1676,290,1675,286,1675,277,1676,273,1683,267,1687,265,1696,265,1699,267,1706,273,1707,277,1707,282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12"/>
        </w:rPr>
        <w:t> </w:t>
      </w:r>
      <w:r>
        <w:rPr>
          <w:color w:val="6E6158"/>
        </w:rPr>
        <w:t>University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California,</w:t>
      </w:r>
      <w:r>
        <w:rPr>
          <w:color w:val="6E6158"/>
          <w:spacing w:val="12"/>
        </w:rPr>
        <w:t> </w:t>
      </w:r>
      <w:r>
        <w:rPr>
          <w:color w:val="6E6158"/>
        </w:rPr>
        <w:t>Los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Angeles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Title"/>
      </w:pPr>
      <w:r>
        <w:rPr>
          <w:color w:val="6E6158"/>
        </w:rPr>
        <w:t>OTHER </w:t>
      </w:r>
      <w:r>
        <w:rPr>
          <w:color w:val="6E6158"/>
          <w:spacing w:val="-2"/>
        </w:rPr>
        <w:t>EXPERIENCE</w:t>
      </w:r>
    </w:p>
    <w:p>
      <w:pPr>
        <w:pStyle w:val="BodyText"/>
        <w:spacing w:before="43"/>
        <w:ind w:left="0"/>
        <w:rPr>
          <w:b/>
        </w:rPr>
      </w:pPr>
    </w:p>
    <w:p>
      <w:pPr>
        <w:pStyle w:val="BodyText"/>
        <w:spacing w:line="427" w:lineRule="auto"/>
        <w:ind w:right="55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59645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96522pt;width:1.65pt;height:1.65pt;mso-position-horizontal-relative:page;mso-position-vertical-relative:paragraph;z-index:15730176" id="docshape13" coordorigin="1675,94" coordsize="33,33" path="m1696,126l1687,126,1683,125,1676,119,1675,115,1675,106,1676,102,1683,96,1687,94,1696,94,1699,96,1706,102,1707,106,1707,110,1707,115,1706,119,1699,125,1696,1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323178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47145pt;width:1.65pt;height:1.65pt;mso-position-horizontal-relative:page;mso-position-vertical-relative:paragraph;z-index:15730688" id="docshape14" coordorigin="1675,509" coordsize="33,33" path="m1696,541l1687,541,1683,540,1676,534,1675,530,1675,521,1676,517,1683,511,1687,509,1696,509,1699,511,1706,517,1707,521,1707,525,1707,530,1706,534,1699,540,1696,54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 Estate Finance and </w:t>
      </w:r>
      <w:r>
        <w:rPr>
          <w:color w:val="6E6158"/>
        </w:rPr>
        <w:t>Lending Real Estate Litigation</w:t>
      </w:r>
    </w:p>
    <w:p>
      <w:pPr>
        <w:pStyle w:val="BodyText"/>
        <w:spacing w:after="0" w:line="427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1200" id="docshape15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Estate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CASES</w:t>
      </w:r>
    </w:p>
    <w:p>
      <w:pPr>
        <w:pStyle w:val="BodyText"/>
        <w:spacing w:line="302" w:lineRule="auto" w:before="147"/>
        <w:ind w:right="3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152808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2146pt;width:1.65pt;height:1.65pt;mso-position-horizontal-relative:page;mso-position-vertical-relative:paragraph;z-index:15731712" id="docshape16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Lender’s counsel on a $100 Million construction loan for redevelopment of former downtown</w:t>
      </w:r>
      <w:r>
        <w:rPr>
          <w:color w:val="6E6158"/>
          <w:spacing w:val="40"/>
        </w:rPr>
        <w:t> </w:t>
      </w:r>
      <w:r>
        <w:rPr>
          <w:color w:val="6E6158"/>
        </w:rPr>
        <w:t>Reno hotel property.</w:t>
      </w:r>
    </w:p>
    <w:p>
      <w:pPr>
        <w:pStyle w:val="BodyText"/>
        <w:spacing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131078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21177pt;width:1.65pt;height:1.65pt;mso-position-horizontal-relative:page;mso-position-vertical-relative:paragraph;z-index:15732224" id="docshape17" coordorigin="1675,206" coordsize="33,33" path="m1696,239l1687,239,1683,237,1676,231,1675,227,1675,218,1676,214,1683,208,1687,206,1696,206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</w:t>
      </w:r>
      <w:r>
        <w:rPr>
          <w:color w:val="6E6158"/>
          <w:spacing w:val="10"/>
        </w:rPr>
        <w:t> </w:t>
      </w:r>
      <w:r>
        <w:rPr>
          <w:color w:val="6E6158"/>
        </w:rPr>
        <w:t>lender</w:t>
      </w:r>
      <w:r>
        <w:rPr>
          <w:color w:val="6E6158"/>
          <w:spacing w:val="11"/>
        </w:rPr>
        <w:t> </w:t>
      </w:r>
      <w:r>
        <w:rPr>
          <w:color w:val="6E6158"/>
        </w:rPr>
        <w:t>in</w:t>
      </w:r>
      <w:r>
        <w:rPr>
          <w:color w:val="6E6158"/>
          <w:spacing w:val="10"/>
        </w:rPr>
        <w:t> </w:t>
      </w:r>
      <w:r>
        <w:rPr>
          <w:color w:val="6E6158"/>
        </w:rPr>
        <w:t>connection</w:t>
      </w:r>
      <w:r>
        <w:rPr>
          <w:color w:val="6E6158"/>
          <w:spacing w:val="11"/>
        </w:rPr>
        <w:t> </w:t>
      </w:r>
      <w:r>
        <w:rPr>
          <w:color w:val="6E6158"/>
        </w:rPr>
        <w:t>with</w:t>
      </w:r>
      <w:r>
        <w:rPr>
          <w:color w:val="6E6158"/>
          <w:spacing w:val="11"/>
        </w:rPr>
        <w:t> </w:t>
      </w:r>
      <w:r>
        <w:rPr>
          <w:color w:val="6E6158"/>
        </w:rPr>
        <w:t>a</w:t>
      </w:r>
      <w:r>
        <w:rPr>
          <w:color w:val="6E6158"/>
          <w:spacing w:val="10"/>
        </w:rPr>
        <w:t> </w:t>
      </w:r>
      <w:r>
        <w:rPr>
          <w:color w:val="6E6158"/>
        </w:rPr>
        <w:t>defaulted</w:t>
      </w:r>
      <w:r>
        <w:rPr>
          <w:color w:val="6E6158"/>
          <w:spacing w:val="11"/>
        </w:rPr>
        <w:t> </w:t>
      </w:r>
      <w:r>
        <w:rPr>
          <w:color w:val="6E6158"/>
        </w:rPr>
        <w:t>$50</w:t>
      </w:r>
      <w:r>
        <w:rPr>
          <w:color w:val="6E6158"/>
          <w:spacing w:val="11"/>
        </w:rPr>
        <w:t> </w:t>
      </w:r>
      <w:r>
        <w:rPr>
          <w:color w:val="6E6158"/>
        </w:rPr>
        <w:t>Million</w:t>
      </w:r>
      <w:r>
        <w:rPr>
          <w:color w:val="6E6158"/>
          <w:spacing w:val="10"/>
        </w:rPr>
        <w:t> </w:t>
      </w:r>
      <w:r>
        <w:rPr>
          <w:color w:val="6E6158"/>
        </w:rPr>
        <w:t>New</w:t>
      </w:r>
      <w:r>
        <w:rPr>
          <w:color w:val="6E6158"/>
          <w:spacing w:val="11"/>
        </w:rPr>
        <w:t> </w:t>
      </w:r>
      <w:r>
        <w:rPr>
          <w:color w:val="6E6158"/>
        </w:rPr>
        <w:t>York</w:t>
      </w:r>
      <w:r>
        <w:rPr>
          <w:color w:val="6E6158"/>
          <w:spacing w:val="10"/>
        </w:rPr>
        <w:t> </w:t>
      </w:r>
      <w:r>
        <w:rPr>
          <w:color w:val="6E6158"/>
        </w:rPr>
        <w:t>loan</w:t>
      </w:r>
      <w:r>
        <w:rPr>
          <w:color w:val="6E6158"/>
          <w:spacing w:val="11"/>
        </w:rPr>
        <w:t> </w:t>
      </w:r>
      <w:r>
        <w:rPr>
          <w:color w:val="6E6158"/>
        </w:rPr>
        <w:t>secured</w:t>
      </w:r>
      <w:r>
        <w:rPr>
          <w:color w:val="6E6158"/>
          <w:spacing w:val="11"/>
        </w:rPr>
        <w:t> </w:t>
      </w:r>
      <w:r>
        <w:rPr>
          <w:color w:val="6E6158"/>
          <w:spacing w:val="-5"/>
        </w:rPr>
        <w:t>by</w:t>
      </w:r>
    </w:p>
    <w:p>
      <w:pPr>
        <w:pStyle w:val="BodyText"/>
        <w:spacing w:line="295" w:lineRule="auto" w:before="52"/>
        <w:ind w:right="146"/>
      </w:pPr>
      <w:r>
        <w:rPr>
          <w:color w:val="6E6158"/>
        </w:rPr>
        <w:t>Nevada and Florida real estate with Pennsylvania guarantors. Commenced and completed</w:t>
      </w:r>
      <w:r>
        <w:rPr>
          <w:color w:val="6E6158"/>
          <w:spacing w:val="40"/>
        </w:rPr>
        <w:t> </w:t>
      </w:r>
      <w:r>
        <w:rPr>
          <w:color w:val="6E6158"/>
        </w:rPr>
        <w:t>non-judicial Nevada foreclosure without significant delays and participated with firm litigation</w:t>
      </w:r>
      <w:r>
        <w:rPr>
          <w:color w:val="6E6158"/>
          <w:spacing w:val="40"/>
        </w:rPr>
        <w:t> </w:t>
      </w:r>
      <w:r>
        <w:rPr>
          <w:color w:val="6E6158"/>
        </w:rPr>
        <w:t>counsel in suit against the guarantors in Nevada involving significant 2011 Nevada </w:t>
      </w:r>
      <w:r>
        <w:rPr>
          <w:color w:val="6E6158"/>
        </w:rPr>
        <w:t>foreclosure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33"/>
        </w:rPr>
        <w:t> </w:t>
      </w:r>
      <w:r>
        <w:rPr>
          <w:color w:val="6E6158"/>
        </w:rPr>
        <w:t>guaranty</w:t>
      </w:r>
      <w:r>
        <w:rPr>
          <w:color w:val="6E6158"/>
          <w:spacing w:val="33"/>
        </w:rPr>
        <w:t> </w:t>
      </w:r>
      <w:r>
        <w:rPr>
          <w:color w:val="6E6158"/>
        </w:rPr>
        <w:t>law</w:t>
      </w:r>
      <w:r>
        <w:rPr>
          <w:color w:val="6E6158"/>
          <w:spacing w:val="33"/>
        </w:rPr>
        <w:t> </w:t>
      </w:r>
      <w:r>
        <w:rPr>
          <w:color w:val="6E6158"/>
        </w:rPr>
        <w:t>amendments</w:t>
      </w:r>
      <w:r>
        <w:rPr>
          <w:color w:val="6E6158"/>
          <w:spacing w:val="33"/>
        </w:rPr>
        <w:t> </w:t>
      </w:r>
      <w:r>
        <w:rPr>
          <w:color w:val="6E6158"/>
        </w:rPr>
        <w:t>subject</w:t>
      </w:r>
      <w:r>
        <w:rPr>
          <w:color w:val="6E6158"/>
          <w:spacing w:val="33"/>
        </w:rPr>
        <w:t> </w:t>
      </w:r>
      <w:r>
        <w:rPr>
          <w:color w:val="6E6158"/>
        </w:rPr>
        <w:t>to</w:t>
      </w:r>
      <w:r>
        <w:rPr>
          <w:color w:val="6E6158"/>
          <w:spacing w:val="33"/>
        </w:rPr>
        <w:t> </w:t>
      </w:r>
      <w:r>
        <w:rPr>
          <w:color w:val="6E6158"/>
        </w:rPr>
        <w:t>a</w:t>
      </w:r>
      <w:r>
        <w:rPr>
          <w:color w:val="6E6158"/>
          <w:spacing w:val="33"/>
        </w:rPr>
        <w:t> </w:t>
      </w:r>
      <w:r>
        <w:rPr>
          <w:color w:val="6E6158"/>
        </w:rPr>
        <w:t>variety</w:t>
      </w:r>
      <w:r>
        <w:rPr>
          <w:color w:val="6E6158"/>
          <w:spacing w:val="33"/>
        </w:rPr>
        <w:t> </w:t>
      </w:r>
      <w:r>
        <w:rPr>
          <w:color w:val="6E6158"/>
        </w:rPr>
        <w:t>of</w:t>
      </w:r>
      <w:r>
        <w:rPr>
          <w:color w:val="6E6158"/>
          <w:spacing w:val="33"/>
        </w:rPr>
        <w:t> </w:t>
      </w:r>
      <w:r>
        <w:rPr>
          <w:color w:val="6E6158"/>
        </w:rPr>
        <w:t>interpretations.</w:t>
      </w:r>
      <w:r>
        <w:rPr>
          <w:color w:val="6E6158"/>
          <w:spacing w:val="33"/>
        </w:rPr>
        <w:t> </w:t>
      </w:r>
      <w:r>
        <w:rPr>
          <w:color w:val="6E6158"/>
        </w:rPr>
        <w:t>Initiated</w:t>
      </w:r>
      <w:r>
        <w:rPr>
          <w:color w:val="6E6158"/>
          <w:spacing w:val="33"/>
        </w:rPr>
        <w:t> </w:t>
      </w:r>
      <w:r>
        <w:rPr>
          <w:color w:val="6E6158"/>
        </w:rPr>
        <w:t>draft</w:t>
      </w:r>
    </w:p>
    <w:p>
      <w:pPr>
        <w:pStyle w:val="BodyText"/>
        <w:spacing w:line="292" w:lineRule="auto" w:before="1"/>
      </w:pPr>
      <w:r>
        <w:rPr>
          <w:color w:val="6E6158"/>
        </w:rPr>
        <w:t>settlement agreement providing for uncontested foreclosures or deeds in lieu and an </w:t>
      </w:r>
      <w:r>
        <w:rPr>
          <w:color w:val="6E6158"/>
        </w:rPr>
        <w:t>agreed</w:t>
      </w:r>
      <w:r>
        <w:rPr>
          <w:color w:val="6E6158"/>
          <w:spacing w:val="40"/>
        </w:rPr>
        <w:t> </w:t>
      </w:r>
      <w:r>
        <w:rPr>
          <w:color w:val="6E6158"/>
        </w:rPr>
        <w:t>upon deficiency.</w:t>
      </w:r>
    </w:p>
    <w:p>
      <w:pPr>
        <w:pStyle w:val="BodyText"/>
        <w:spacing w:line="295" w:lineRule="auto" w:before="131"/>
        <w:ind w:right="3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142844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7609pt;width:1.65pt;height:1.65pt;mso-position-horizontal-relative:page;mso-position-vertical-relative:paragraph;z-index:15732736" id="docshape18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the University of Nevada, Las Vegas (UNLV) in the negotiation of an Exclusive Negotiation Agreement (ENA), subsequently approved by the Board of Regents. The ENA</w:t>
      </w:r>
      <w:r>
        <w:rPr>
          <w:color w:val="6E6158"/>
          <w:spacing w:val="40"/>
        </w:rPr>
        <w:t> </w:t>
      </w:r>
      <w:r>
        <w:rPr>
          <w:color w:val="6E6158"/>
        </w:rPr>
        <w:t>provided for a period during which UNLV and Majestic Realty Co., a California developer, would negotiate the terms and conditions under which Majestic, which had prior </w:t>
      </w:r>
      <w:r>
        <w:rPr>
          <w:color w:val="6E6158"/>
        </w:rPr>
        <w:t>experience</w:t>
      </w:r>
      <w:r>
        <w:rPr>
          <w:color w:val="6E6158"/>
          <w:spacing w:val="80"/>
        </w:rPr>
        <w:t> </w:t>
      </w:r>
      <w:r>
        <w:rPr>
          <w:color w:val="6E6158"/>
        </w:rPr>
        <w:t>in developing and constructing similar facilities, would develop and construct an on-campus</w:t>
      </w:r>
      <w:r>
        <w:rPr>
          <w:color w:val="6E6158"/>
          <w:spacing w:val="40"/>
        </w:rPr>
        <w:t> </w:t>
      </w:r>
      <w:r>
        <w:rPr>
          <w:color w:val="6E6158"/>
        </w:rPr>
        <w:t>mega event stadium and related hospitality and retail facilities. The ENA provided for a</w:t>
      </w:r>
      <w:r>
        <w:rPr>
          <w:color w:val="6E6158"/>
          <w:spacing w:val="80"/>
        </w:rPr>
        <w:t> </w:t>
      </w:r>
      <w:r>
        <w:rPr>
          <w:color w:val="6E6158"/>
        </w:rPr>
        <w:t>process by which the terms and conditions of various implementing agreements would be</w:t>
      </w:r>
      <w:r>
        <w:rPr>
          <w:color w:val="6E6158"/>
          <w:spacing w:val="40"/>
        </w:rPr>
        <w:t> </w:t>
      </w:r>
      <w:r>
        <w:rPr>
          <w:color w:val="6E6158"/>
        </w:rPr>
        <w:t>negotiated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agreed</w:t>
      </w:r>
      <w:r>
        <w:rPr>
          <w:color w:val="6E6158"/>
          <w:spacing w:val="27"/>
        </w:rPr>
        <w:t> </w:t>
      </w:r>
      <w:r>
        <w:rPr>
          <w:color w:val="6E6158"/>
        </w:rPr>
        <w:t>to</w:t>
      </w:r>
      <w:r>
        <w:rPr>
          <w:color w:val="6E6158"/>
          <w:spacing w:val="27"/>
        </w:rPr>
        <w:t> </w:t>
      </w:r>
      <w:r>
        <w:rPr>
          <w:color w:val="6E6158"/>
        </w:rPr>
        <w:t>in</w:t>
      </w:r>
      <w:r>
        <w:rPr>
          <w:color w:val="6E6158"/>
          <w:spacing w:val="27"/>
        </w:rPr>
        <w:t> </w:t>
      </w:r>
      <w:r>
        <w:rPr>
          <w:color w:val="6E6158"/>
        </w:rPr>
        <w:t>phases,</w:t>
      </w:r>
      <w:r>
        <w:rPr>
          <w:color w:val="6E6158"/>
          <w:spacing w:val="27"/>
        </w:rPr>
        <w:t> </w:t>
      </w:r>
      <w:r>
        <w:rPr>
          <w:color w:val="6E6158"/>
        </w:rPr>
        <w:t>as</w:t>
      </w:r>
      <w:r>
        <w:rPr>
          <w:color w:val="6E6158"/>
          <w:spacing w:val="27"/>
        </w:rPr>
        <w:t> </w:t>
      </w:r>
      <w:r>
        <w:rPr>
          <w:color w:val="6E6158"/>
        </w:rPr>
        <w:t>well</w:t>
      </w:r>
      <w:r>
        <w:rPr>
          <w:color w:val="6E6158"/>
          <w:spacing w:val="27"/>
        </w:rPr>
        <w:t> </w:t>
      </w:r>
      <w:r>
        <w:rPr>
          <w:color w:val="6E6158"/>
        </w:rPr>
        <w:t>as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means</w:t>
      </w:r>
      <w:r>
        <w:rPr>
          <w:color w:val="6E6158"/>
          <w:spacing w:val="27"/>
        </w:rPr>
        <w:t> </w:t>
      </w:r>
      <w:r>
        <w:rPr>
          <w:color w:val="6E6158"/>
        </w:rPr>
        <w:t>to</w:t>
      </w:r>
      <w:r>
        <w:rPr>
          <w:color w:val="6E6158"/>
          <w:spacing w:val="27"/>
        </w:rPr>
        <w:t> </w:t>
      </w:r>
      <w:r>
        <w:rPr>
          <w:color w:val="6E6158"/>
        </w:rPr>
        <w:t>terminate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negotiations.</w:t>
      </w:r>
    </w:p>
    <w:p>
      <w:pPr>
        <w:pStyle w:val="BodyText"/>
        <w:spacing w:line="292" w:lineRule="auto" w:before="125"/>
        <w:ind w:right="3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138760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926062pt;width:1.65pt;height:1.65pt;mso-position-horizontal-relative:page;mso-position-vertical-relative:paragraph;z-index:15733248" id="docshape19" coordorigin="1675,219" coordsize="33,33" path="m1696,251l1687,251,1683,249,1676,243,1675,239,1675,230,1676,226,1683,220,1687,219,1696,219,1699,220,1706,226,1707,230,1707,235,1707,239,1706,243,1699,249,1696,25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the developers of high rise condominium projects adjacent to the Las Vegas Strip (Panorama Towers) and in downtown Las Vegas (Newport Lofts and Juhl).</w:t>
      </w:r>
    </w:p>
    <w:p>
      <w:pPr>
        <w:pStyle w:val="BodyText"/>
        <w:spacing w:line="297" w:lineRule="auto" w:before="1"/>
        <w:ind w:right="333"/>
      </w:pPr>
      <w:r>
        <w:rPr>
          <w:color w:val="6E6158"/>
        </w:rPr>
        <w:t>Representation included preparing and negotiating agreements for the acquisition of </w:t>
      </w:r>
      <w:r>
        <w:rPr>
          <w:color w:val="6E6158"/>
        </w:rPr>
        <w:t>the various sites; preparation of the declaration and various documents creating the condominium</w:t>
      </w:r>
      <w:r>
        <w:rPr>
          <w:color w:val="6E6158"/>
          <w:spacing w:val="37"/>
        </w:rPr>
        <w:t> </w:t>
      </w:r>
      <w:r>
        <w:rPr>
          <w:color w:val="6E6158"/>
        </w:rPr>
        <w:t>associations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the</w:t>
      </w:r>
      <w:r>
        <w:rPr>
          <w:color w:val="6E6158"/>
          <w:spacing w:val="37"/>
        </w:rPr>
        <w:t> </w:t>
      </w:r>
      <w:r>
        <w:rPr>
          <w:color w:val="6E6158"/>
        </w:rPr>
        <w:t>sale</w:t>
      </w:r>
      <w:r>
        <w:rPr>
          <w:color w:val="6E6158"/>
          <w:spacing w:val="37"/>
        </w:rPr>
        <w:t> </w:t>
      </w:r>
      <w:r>
        <w:rPr>
          <w:color w:val="6E6158"/>
        </w:rPr>
        <w:t>of</w:t>
      </w:r>
      <w:r>
        <w:rPr>
          <w:color w:val="6E6158"/>
          <w:spacing w:val="37"/>
        </w:rPr>
        <w:t> </w:t>
      </w:r>
      <w:r>
        <w:rPr>
          <w:color w:val="6E6158"/>
        </w:rPr>
        <w:t>condominium</w:t>
      </w:r>
      <w:r>
        <w:rPr>
          <w:color w:val="6E6158"/>
          <w:spacing w:val="37"/>
        </w:rPr>
        <w:t> </w:t>
      </w:r>
      <w:r>
        <w:rPr>
          <w:color w:val="6E6158"/>
        </w:rPr>
        <w:t>units,</w:t>
      </w:r>
      <w:r>
        <w:rPr>
          <w:color w:val="6E6158"/>
          <w:spacing w:val="37"/>
        </w:rPr>
        <w:t> </w:t>
      </w:r>
      <w:r>
        <w:rPr>
          <w:color w:val="6E6158"/>
        </w:rPr>
        <w:t>including</w:t>
      </w:r>
      <w:r>
        <w:rPr>
          <w:color w:val="6E6158"/>
          <w:spacing w:val="37"/>
        </w:rPr>
        <w:t> </w:t>
      </w:r>
      <w:r>
        <w:rPr>
          <w:color w:val="6E6158"/>
        </w:rPr>
        <w:t>public</w:t>
      </w:r>
      <w:r>
        <w:rPr>
          <w:color w:val="6E6158"/>
          <w:spacing w:val="37"/>
        </w:rPr>
        <w:t> </w:t>
      </w:r>
      <w:r>
        <w:rPr>
          <w:color w:val="6E6158"/>
        </w:rPr>
        <w:t>offering</w:t>
      </w:r>
    </w:p>
    <w:p>
      <w:pPr>
        <w:pStyle w:val="BodyText"/>
        <w:spacing w:line="297" w:lineRule="auto"/>
        <w:ind w:right="136"/>
      </w:pPr>
      <w:r>
        <w:rPr>
          <w:color w:val="6E6158"/>
        </w:rPr>
        <w:t>statement,</w:t>
      </w:r>
      <w:r>
        <w:rPr>
          <w:color w:val="6E6158"/>
          <w:spacing w:val="35"/>
        </w:rPr>
        <w:t> </w:t>
      </w:r>
      <w:r>
        <w:rPr>
          <w:color w:val="6E6158"/>
        </w:rPr>
        <w:t>HUD</w:t>
      </w:r>
      <w:r>
        <w:rPr>
          <w:color w:val="6E6158"/>
          <w:spacing w:val="35"/>
        </w:rPr>
        <w:t> </w:t>
      </w:r>
      <w:r>
        <w:rPr>
          <w:color w:val="6E6158"/>
        </w:rPr>
        <w:t>ILSA</w:t>
      </w:r>
      <w:r>
        <w:rPr>
          <w:color w:val="6E6158"/>
          <w:spacing w:val="35"/>
        </w:rPr>
        <w:t> </w:t>
      </w:r>
      <w:r>
        <w:rPr>
          <w:color w:val="6E6158"/>
        </w:rPr>
        <w:t>registrations,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end</w:t>
      </w:r>
      <w:r>
        <w:rPr>
          <w:color w:val="6E6158"/>
          <w:spacing w:val="35"/>
        </w:rPr>
        <w:t> </w:t>
      </w:r>
      <w:r>
        <w:rPr>
          <w:color w:val="6E6158"/>
        </w:rPr>
        <w:t>user</w:t>
      </w:r>
      <w:r>
        <w:rPr>
          <w:color w:val="6E6158"/>
          <w:spacing w:val="35"/>
        </w:rPr>
        <w:t> </w:t>
      </w:r>
      <w:r>
        <w:rPr>
          <w:color w:val="6E6158"/>
        </w:rPr>
        <w:t>purchase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sale</w:t>
      </w:r>
      <w:r>
        <w:rPr>
          <w:color w:val="6E6158"/>
          <w:spacing w:val="35"/>
        </w:rPr>
        <w:t> </w:t>
      </w:r>
      <w:r>
        <w:rPr>
          <w:color w:val="6E6158"/>
        </w:rPr>
        <w:t>agreements. Representation also included negotiation of first mortgage and mezzanine financing loans </w:t>
      </w:r>
      <w:r>
        <w:rPr>
          <w:color w:val="6E6158"/>
        </w:rPr>
        <w:t>for</w:t>
      </w:r>
      <w:r>
        <w:rPr>
          <w:color w:val="6E6158"/>
          <w:spacing w:val="40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projects,</w:t>
      </w:r>
      <w:r>
        <w:rPr>
          <w:color w:val="6E6158"/>
          <w:spacing w:val="27"/>
        </w:rPr>
        <w:t> </w:t>
      </w:r>
      <w:r>
        <w:rPr>
          <w:color w:val="6E6158"/>
        </w:rPr>
        <w:t>as</w:t>
      </w:r>
      <w:r>
        <w:rPr>
          <w:color w:val="6E6158"/>
          <w:spacing w:val="27"/>
        </w:rPr>
        <w:t> </w:t>
      </w:r>
      <w:r>
        <w:rPr>
          <w:color w:val="6E6158"/>
        </w:rPr>
        <w:t>well</w:t>
      </w:r>
      <w:r>
        <w:rPr>
          <w:color w:val="6E6158"/>
          <w:spacing w:val="27"/>
        </w:rPr>
        <w:t> </w:t>
      </w:r>
      <w:r>
        <w:rPr>
          <w:color w:val="6E6158"/>
        </w:rPr>
        <w:t>as</w:t>
      </w:r>
      <w:r>
        <w:rPr>
          <w:color w:val="6E6158"/>
          <w:spacing w:val="27"/>
        </w:rPr>
        <w:t> </w:t>
      </w:r>
      <w:r>
        <w:rPr>
          <w:color w:val="6E6158"/>
        </w:rPr>
        <w:t>subsequent</w:t>
      </w:r>
      <w:r>
        <w:rPr>
          <w:color w:val="6E6158"/>
          <w:spacing w:val="27"/>
        </w:rPr>
        <w:t> </w:t>
      </w:r>
      <w:r>
        <w:rPr>
          <w:color w:val="6E6158"/>
        </w:rPr>
        <w:t>loan</w:t>
      </w:r>
      <w:r>
        <w:rPr>
          <w:color w:val="6E6158"/>
          <w:spacing w:val="27"/>
        </w:rPr>
        <w:t> </w:t>
      </w:r>
      <w:r>
        <w:rPr>
          <w:color w:val="6E6158"/>
        </w:rPr>
        <w:t>modifications.</w:t>
      </w:r>
      <w:r>
        <w:rPr>
          <w:color w:val="6E6158"/>
          <w:spacing w:val="27"/>
        </w:rPr>
        <w:t> </w:t>
      </w:r>
      <w:r>
        <w:rPr>
          <w:color w:val="6E6158"/>
        </w:rPr>
        <w:t>Portions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Juhl</w:t>
      </w:r>
      <w:r>
        <w:rPr>
          <w:color w:val="6E6158"/>
          <w:spacing w:val="27"/>
        </w:rPr>
        <w:t> </w:t>
      </w:r>
      <w:r>
        <w:rPr>
          <w:color w:val="6E6158"/>
        </w:rPr>
        <w:t>site</w:t>
      </w:r>
      <w:r>
        <w:rPr>
          <w:color w:val="6E6158"/>
          <w:spacing w:val="27"/>
        </w:rPr>
        <w:t> </w:t>
      </w:r>
      <w:r>
        <w:rPr>
          <w:color w:val="6E6158"/>
        </w:rPr>
        <w:t>in</w:t>
      </w:r>
      <w:r>
        <w:rPr>
          <w:color w:val="6E6158"/>
          <w:spacing w:val="27"/>
        </w:rPr>
        <w:t> </w:t>
      </w:r>
      <w:r>
        <w:rPr>
          <w:color w:val="6E6158"/>
        </w:rPr>
        <w:t>downtown Las Vegas were acquired from the City of Las Vegas through a Disposition and Development Agreement</w:t>
      </w:r>
      <w:r>
        <w:rPr>
          <w:color w:val="6E6158"/>
          <w:spacing w:val="40"/>
        </w:rPr>
        <w:t> </w:t>
      </w:r>
      <w:r>
        <w:rPr>
          <w:color w:val="6E6158"/>
        </w:rPr>
        <w:t>(DDA)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were</w:t>
      </w:r>
      <w:r>
        <w:rPr>
          <w:color w:val="6E6158"/>
          <w:spacing w:val="40"/>
        </w:rPr>
        <w:t> </w:t>
      </w:r>
      <w:r>
        <w:rPr>
          <w:color w:val="6E6158"/>
        </w:rPr>
        <w:t>additionally</w:t>
      </w:r>
      <w:r>
        <w:rPr>
          <w:color w:val="6E6158"/>
          <w:spacing w:val="40"/>
        </w:rPr>
        <w:t> </w:t>
      </w:r>
      <w:r>
        <w:rPr>
          <w:color w:val="6E6158"/>
        </w:rPr>
        <w:t>subject</w:t>
      </w:r>
      <w:r>
        <w:rPr>
          <w:color w:val="6E6158"/>
          <w:spacing w:val="40"/>
        </w:rPr>
        <w:t> </w:t>
      </w:r>
      <w:r>
        <w:rPr>
          <w:color w:val="6E6158"/>
        </w:rPr>
        <w:t>to</w:t>
      </w:r>
      <w:r>
        <w:rPr>
          <w:color w:val="6E6158"/>
          <w:spacing w:val="40"/>
        </w:rPr>
        <w:t> </w:t>
      </w:r>
      <w:r>
        <w:rPr>
          <w:color w:val="6E6158"/>
        </w:rPr>
        <w:t>easement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encroachment agreements with the City for the use of public airspace.</w:t>
      </w:r>
    </w:p>
    <w:p>
      <w:pPr>
        <w:pStyle w:val="BodyText"/>
        <w:spacing w:line="292" w:lineRule="auto" w:before="110"/>
        <w:ind w:right="16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129386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187891pt;width:1.65pt;height:1.65pt;mso-position-horizontal-relative:page;mso-position-vertical-relative:paragraph;z-index:15733760" id="docshape20" coordorigin="1675,204" coordsize="33,33" path="m1696,236l1687,236,1683,235,1676,228,1675,225,1675,216,1676,212,1683,205,1687,204,1696,204,1699,205,1706,212,1707,216,1707,220,1707,225,1706,228,1699,235,1696,23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the owner and developer of Aliante following its acquisition of the 1905 acre site</w:t>
      </w:r>
      <w:r>
        <w:rPr>
          <w:color w:val="6E6158"/>
          <w:spacing w:val="80"/>
        </w:rPr>
        <w:t> </w:t>
      </w:r>
      <w:r>
        <w:rPr>
          <w:color w:val="6E6158"/>
        </w:rPr>
        <w:t>in</w:t>
      </w:r>
      <w:r>
        <w:rPr>
          <w:color w:val="6E6158"/>
          <w:spacing w:val="20"/>
        </w:rPr>
        <w:t> </w:t>
      </w:r>
      <w:r>
        <w:rPr>
          <w:color w:val="6E6158"/>
        </w:rPr>
        <w:t>a</w:t>
      </w:r>
      <w:r>
        <w:rPr>
          <w:color w:val="6E6158"/>
          <w:spacing w:val="20"/>
        </w:rPr>
        <w:t> </w:t>
      </w:r>
      <w:r>
        <w:rPr>
          <w:color w:val="6E6158"/>
        </w:rPr>
        <w:t>BLM</w:t>
      </w:r>
      <w:r>
        <w:rPr>
          <w:color w:val="6E6158"/>
          <w:spacing w:val="20"/>
        </w:rPr>
        <w:t> </w:t>
      </w:r>
      <w:r>
        <w:rPr>
          <w:color w:val="6E6158"/>
        </w:rPr>
        <w:t>land</w:t>
      </w:r>
      <w:r>
        <w:rPr>
          <w:color w:val="6E6158"/>
          <w:spacing w:val="20"/>
        </w:rPr>
        <w:t> </w:t>
      </w:r>
      <w:r>
        <w:rPr>
          <w:color w:val="6E6158"/>
        </w:rPr>
        <w:t>auction.</w:t>
      </w:r>
      <w:r>
        <w:rPr>
          <w:color w:val="6E6158"/>
          <w:spacing w:val="20"/>
        </w:rPr>
        <w:t> </w:t>
      </w:r>
      <w:r>
        <w:rPr>
          <w:color w:val="6E6158"/>
        </w:rPr>
        <w:t>Aliante</w:t>
      </w:r>
      <w:r>
        <w:rPr>
          <w:color w:val="6E6158"/>
          <w:spacing w:val="20"/>
        </w:rPr>
        <w:t> </w:t>
      </w:r>
      <w:r>
        <w:rPr>
          <w:color w:val="6E6158"/>
        </w:rPr>
        <w:t>is</w:t>
      </w:r>
      <w:r>
        <w:rPr>
          <w:color w:val="6E6158"/>
          <w:spacing w:val="20"/>
        </w:rPr>
        <w:t> </w:t>
      </w:r>
      <w:r>
        <w:rPr>
          <w:color w:val="6E6158"/>
        </w:rPr>
        <w:t>a</w:t>
      </w:r>
      <w:r>
        <w:rPr>
          <w:color w:val="6E6158"/>
          <w:spacing w:val="20"/>
        </w:rPr>
        <w:t> </w:t>
      </w:r>
      <w:r>
        <w:rPr>
          <w:color w:val="6E6158"/>
        </w:rPr>
        <w:t>mixed</w:t>
      </w:r>
      <w:r>
        <w:rPr>
          <w:color w:val="6E6158"/>
          <w:spacing w:val="20"/>
        </w:rPr>
        <w:t> </w:t>
      </w:r>
      <w:r>
        <w:rPr>
          <w:color w:val="6E6158"/>
        </w:rPr>
        <w:t>use</w:t>
      </w:r>
      <w:r>
        <w:rPr>
          <w:color w:val="6E6158"/>
          <w:spacing w:val="20"/>
        </w:rPr>
        <w:t> </w:t>
      </w:r>
      <w:r>
        <w:rPr>
          <w:color w:val="6E6158"/>
        </w:rPr>
        <w:t>master</w:t>
      </w:r>
      <w:r>
        <w:rPr>
          <w:color w:val="6E6158"/>
          <w:spacing w:val="20"/>
        </w:rPr>
        <w:t> </w:t>
      </w:r>
      <w:r>
        <w:rPr>
          <w:color w:val="6E6158"/>
        </w:rPr>
        <w:t>planned</w:t>
      </w:r>
      <w:r>
        <w:rPr>
          <w:color w:val="6E6158"/>
          <w:spacing w:val="20"/>
        </w:rPr>
        <w:t> </w:t>
      </w:r>
      <w:r>
        <w:rPr>
          <w:color w:val="6E6158"/>
        </w:rPr>
        <w:t>community</w:t>
      </w:r>
      <w:r>
        <w:rPr>
          <w:color w:val="6E6158"/>
          <w:spacing w:val="20"/>
        </w:rPr>
        <w:t> </w:t>
      </w:r>
      <w:r>
        <w:rPr>
          <w:color w:val="6E6158"/>
        </w:rPr>
        <w:t>in</w:t>
      </w:r>
      <w:r>
        <w:rPr>
          <w:color w:val="6E6158"/>
          <w:spacing w:val="20"/>
        </w:rPr>
        <w:t> </w:t>
      </w:r>
      <w:r>
        <w:rPr>
          <w:color w:val="6E6158"/>
        </w:rPr>
        <w:t>North</w:t>
      </w:r>
      <w:r>
        <w:rPr>
          <w:color w:val="6E6158"/>
          <w:spacing w:val="20"/>
        </w:rPr>
        <w:t> </w:t>
      </w:r>
      <w:r>
        <w:rPr>
          <w:color w:val="6E6158"/>
        </w:rPr>
        <w:t>Las</w:t>
      </w:r>
      <w:r>
        <w:rPr>
          <w:color w:val="6E6158"/>
          <w:spacing w:val="20"/>
        </w:rPr>
        <w:t> </w:t>
      </w:r>
      <w:r>
        <w:rPr>
          <w:color w:val="6E6158"/>
        </w:rPr>
        <w:t>Vegas,</w:t>
      </w:r>
    </w:p>
    <w:p>
      <w:pPr>
        <w:pStyle w:val="BodyText"/>
        <w:spacing w:line="295" w:lineRule="auto" w:before="1"/>
        <w:ind w:right="390"/>
      </w:pPr>
      <w:r>
        <w:rPr>
          <w:color w:val="6E6158"/>
        </w:rPr>
        <w:t>Nevada which includes approximately 6,500 homes, commercial shopping centers and a</w:t>
      </w:r>
      <w:r>
        <w:rPr>
          <w:color w:val="6E6158"/>
          <w:spacing w:val="40"/>
        </w:rPr>
        <w:t> </w:t>
      </w:r>
      <w:r>
        <w:rPr>
          <w:color w:val="6E6158"/>
        </w:rPr>
        <w:t>resort hotel/casino. Representation over the period of the community’s development and</w:t>
      </w:r>
      <w:r>
        <w:rPr>
          <w:color w:val="6E6158"/>
          <w:spacing w:val="80"/>
        </w:rPr>
        <w:t> </w:t>
      </w:r>
      <w:r>
        <w:rPr>
          <w:color w:val="6E6158"/>
        </w:rPr>
        <w:t>sale included preparing and negotiating the option and sale contracts between the </w:t>
      </w:r>
      <w:r>
        <w:rPr>
          <w:color w:val="6E6158"/>
        </w:rPr>
        <w:t>master</w:t>
      </w:r>
      <w:r>
        <w:rPr>
          <w:color w:val="6E6158"/>
          <w:spacing w:val="40"/>
        </w:rPr>
        <w:t> </w:t>
      </w:r>
      <w:r>
        <w:rPr>
          <w:color w:val="6E6158"/>
        </w:rPr>
        <w:t>developer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various</w:t>
      </w:r>
      <w:r>
        <w:rPr>
          <w:color w:val="6E6158"/>
          <w:spacing w:val="40"/>
        </w:rPr>
        <w:t> </w:t>
      </w:r>
      <w:r>
        <w:rPr>
          <w:color w:val="6E6158"/>
        </w:rPr>
        <w:t>homebuilder</w:t>
      </w:r>
      <w:r>
        <w:rPr>
          <w:color w:val="6E6158"/>
          <w:spacing w:val="40"/>
        </w:rPr>
        <w:t> </w:t>
      </w:r>
      <w:r>
        <w:rPr>
          <w:color w:val="6E6158"/>
        </w:rPr>
        <w:t>purchasers;</w:t>
      </w:r>
      <w:r>
        <w:rPr>
          <w:color w:val="6E6158"/>
          <w:spacing w:val="40"/>
        </w:rPr>
        <w:t> </w:t>
      </w:r>
      <w:r>
        <w:rPr>
          <w:color w:val="6E6158"/>
        </w:rPr>
        <w:t>preparing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negotiating</w:t>
      </w:r>
      <w:r>
        <w:rPr>
          <w:color w:val="6E6158"/>
          <w:spacing w:val="40"/>
        </w:rPr>
        <w:t> </w:t>
      </w:r>
      <w:r>
        <w:rPr>
          <w:color w:val="6E6158"/>
        </w:rPr>
        <w:t>the</w:t>
      </w:r>
    </w:p>
    <w:p>
      <w:pPr>
        <w:pStyle w:val="BodyText"/>
        <w:spacing w:line="295" w:lineRule="auto" w:before="1"/>
        <w:ind w:right="58"/>
      </w:pPr>
      <w:r>
        <w:rPr>
          <w:color w:val="6E6158"/>
        </w:rPr>
        <w:t>development covenants for the homebuilder’s parcels; preparation of the master </w:t>
      </w:r>
      <w:r>
        <w:rPr>
          <w:color w:val="6E6158"/>
        </w:rPr>
        <w:t>declaration</w:t>
      </w:r>
      <w:r>
        <w:rPr>
          <w:color w:val="6E6158"/>
          <w:spacing w:val="40"/>
        </w:rPr>
        <w:t> </w:t>
      </w:r>
      <w:r>
        <w:rPr>
          <w:color w:val="6E6158"/>
        </w:rPr>
        <w:t>and related master association documents; and representing the master developer in</w:t>
      </w:r>
      <w:r>
        <w:rPr>
          <w:color w:val="6E6158"/>
          <w:spacing w:val="40"/>
        </w:rPr>
        <w:t> </w:t>
      </w:r>
      <w:r>
        <w:rPr>
          <w:color w:val="6E6158"/>
        </w:rPr>
        <w:t>connection with the bank financing for the community. Similar clients and projects included</w:t>
      </w:r>
      <w:r>
        <w:rPr>
          <w:color w:val="6E6158"/>
          <w:spacing w:val="40"/>
        </w:rPr>
        <w:t> </w:t>
      </w:r>
      <w:r>
        <w:rPr>
          <w:color w:val="6E6158"/>
        </w:rPr>
        <w:t>representation of the developers of Seven Hills, MacDonald Highlands and Tuscany, each of</w:t>
      </w:r>
      <w:r>
        <w:rPr>
          <w:color w:val="6E6158"/>
          <w:spacing w:val="40"/>
        </w:rPr>
        <w:t> </w:t>
      </w:r>
      <w:r>
        <w:rPr>
          <w:color w:val="6E6158"/>
        </w:rPr>
        <w:t>which included an onsite golf course.</w:t>
      </w:r>
    </w:p>
    <w:p>
      <w:pPr>
        <w:pStyle w:val="BodyText"/>
        <w:spacing w:line="295" w:lineRule="auto" w:before="130"/>
        <w:ind w:right="3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142214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198014pt;width:1.65pt;height:1.65pt;mso-position-horizontal-relative:page;mso-position-vertical-relative:paragraph;z-index:15734272" id="docshape21" coordorigin="1675,224" coordsize="33,33" path="m1696,257l1687,257,1683,255,1676,249,1675,245,1675,236,1676,232,1683,226,1687,224,1696,224,1699,226,1706,232,1707,236,1707,240,1707,245,1706,249,1699,255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 national homebuilder in its negotiation of the proposed form of </w:t>
      </w:r>
      <w:r>
        <w:rPr>
          <w:color w:val="6E6158"/>
        </w:rPr>
        <w:t>annexation</w:t>
      </w:r>
      <w:r>
        <w:rPr>
          <w:color w:val="6E6158"/>
          <w:spacing w:val="40"/>
        </w:rPr>
        <w:t> </w:t>
      </w:r>
      <w:r>
        <w:rPr>
          <w:color w:val="6E6158"/>
        </w:rPr>
        <w:t>and parks agreements with the City of Henderson. These agreements were negotiated in</w:t>
      </w:r>
      <w:r>
        <w:rPr>
          <w:color w:val="6E6158"/>
          <w:spacing w:val="40"/>
        </w:rPr>
        <w:t> </w:t>
      </w:r>
      <w:r>
        <w:rPr>
          <w:color w:val="6E6158"/>
        </w:rPr>
        <w:t>advance of a BLM auction of undeveloped land within the City in contemplation of the</w:t>
      </w:r>
      <w:r>
        <w:rPr>
          <w:color w:val="6E6158"/>
          <w:spacing w:val="40"/>
        </w:rPr>
        <w:t> </w:t>
      </w:r>
      <w:r>
        <w:rPr>
          <w:color w:val="6E6158"/>
        </w:rPr>
        <w:t>homebuilder becoming the successful bidder.</w:t>
      </w:r>
    </w:p>
    <w:p>
      <w:pPr>
        <w:pStyle w:val="BodyText"/>
        <w:spacing w:line="292" w:lineRule="auto" w:before="124"/>
        <w:ind w:right="3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137970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3803pt;width:1.65pt;height:1.65pt;mso-position-horizontal-relative:page;mso-position-vertical-relative:paragraph;z-index:15734784" id="docshape22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 bank in connection with its leasehold mortgage financing of phase one of </w:t>
      </w:r>
      <w:r>
        <w:rPr>
          <w:color w:val="6E6158"/>
        </w:rPr>
        <w:t>a</w:t>
      </w:r>
      <w:r>
        <w:rPr>
          <w:color w:val="6E6158"/>
          <w:spacing w:val="40"/>
        </w:rPr>
        <w:t> </w:t>
      </w:r>
      <w:r>
        <w:rPr>
          <w:color w:val="6E6158"/>
        </w:rPr>
        <w:t>golf</w:t>
      </w:r>
      <w:r>
        <w:rPr>
          <w:color w:val="6E6158"/>
          <w:spacing w:val="25"/>
        </w:rPr>
        <w:t> </w:t>
      </w:r>
      <w:r>
        <w:rPr>
          <w:color w:val="6E6158"/>
        </w:rPr>
        <w:t>course</w:t>
      </w:r>
      <w:r>
        <w:rPr>
          <w:color w:val="6E6158"/>
          <w:spacing w:val="25"/>
        </w:rPr>
        <w:t> </w:t>
      </w:r>
      <w:r>
        <w:rPr>
          <w:color w:val="6E6158"/>
        </w:rPr>
        <w:t>development</w:t>
      </w:r>
      <w:r>
        <w:rPr>
          <w:color w:val="6E6158"/>
          <w:spacing w:val="25"/>
        </w:rPr>
        <w:t> </w:t>
      </w:r>
      <w:r>
        <w:rPr>
          <w:color w:val="6E6158"/>
        </w:rPr>
        <w:t>owned</w:t>
      </w:r>
      <w:r>
        <w:rPr>
          <w:color w:val="6E6158"/>
          <w:spacing w:val="25"/>
        </w:rPr>
        <w:t> </w:t>
      </w:r>
      <w:r>
        <w:rPr>
          <w:color w:val="6E6158"/>
        </w:rPr>
        <w:t>and</w:t>
      </w:r>
      <w:r>
        <w:rPr>
          <w:color w:val="6E6158"/>
          <w:spacing w:val="25"/>
        </w:rPr>
        <w:t> </w:t>
      </w:r>
      <w:r>
        <w:rPr>
          <w:color w:val="6E6158"/>
        </w:rPr>
        <w:t>operated</w:t>
      </w:r>
      <w:r>
        <w:rPr>
          <w:color w:val="6E6158"/>
          <w:spacing w:val="25"/>
        </w:rPr>
        <w:t> </w:t>
      </w:r>
      <w:r>
        <w:rPr>
          <w:color w:val="6E6158"/>
        </w:rPr>
        <w:t>by</w:t>
      </w:r>
      <w:r>
        <w:rPr>
          <w:color w:val="6E6158"/>
          <w:spacing w:val="25"/>
        </w:rPr>
        <w:t> </w:t>
      </w:r>
      <w:r>
        <w:rPr>
          <w:color w:val="6E6158"/>
        </w:rPr>
        <w:t>a</w:t>
      </w:r>
      <w:r>
        <w:rPr>
          <w:color w:val="6E6158"/>
          <w:spacing w:val="25"/>
        </w:rPr>
        <w:t> </w:t>
      </w:r>
      <w:r>
        <w:rPr>
          <w:color w:val="6E6158"/>
        </w:rPr>
        <w:t>local</w:t>
      </w:r>
      <w:r>
        <w:rPr>
          <w:color w:val="6E6158"/>
          <w:spacing w:val="25"/>
        </w:rPr>
        <w:t> </w:t>
      </w:r>
      <w:r>
        <w:rPr>
          <w:color w:val="6E6158"/>
        </w:rPr>
        <w:t>Indian</w:t>
      </w:r>
      <w:r>
        <w:rPr>
          <w:color w:val="6E6158"/>
          <w:spacing w:val="25"/>
        </w:rPr>
        <w:t> </w:t>
      </w:r>
      <w:r>
        <w:rPr>
          <w:color w:val="6E6158"/>
        </w:rPr>
        <w:t>tribe</w:t>
      </w:r>
      <w:r>
        <w:rPr>
          <w:color w:val="6E6158"/>
          <w:spacing w:val="25"/>
        </w:rPr>
        <w:t> </w:t>
      </w:r>
      <w:r>
        <w:rPr>
          <w:color w:val="6E6158"/>
        </w:rPr>
        <w:t>in</w:t>
      </w:r>
      <w:r>
        <w:rPr>
          <w:color w:val="6E6158"/>
          <w:spacing w:val="25"/>
        </w:rPr>
        <w:t> </w:t>
      </w:r>
      <w:r>
        <w:rPr>
          <w:color w:val="6E6158"/>
        </w:rPr>
        <w:t>Las</w:t>
      </w:r>
      <w:r>
        <w:rPr>
          <w:color w:val="6E6158"/>
          <w:spacing w:val="25"/>
        </w:rPr>
        <w:t> </w:t>
      </w:r>
      <w:r>
        <w:rPr>
          <w:color w:val="6E6158"/>
        </w:rPr>
        <w:t>Vegas.</w:t>
      </w:r>
      <w:r>
        <w:rPr>
          <w:color w:val="6E6158"/>
          <w:spacing w:val="25"/>
        </w:rPr>
        <w:t> </w:t>
      </w:r>
      <w:r>
        <w:rPr>
          <w:color w:val="6E6158"/>
        </w:rPr>
        <w:t>Later</w:t>
      </w:r>
    </w:p>
    <w:p>
      <w:pPr>
        <w:pStyle w:val="BodyText"/>
        <w:spacing w:after="0" w:line="292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7" w:lineRule="auto" w:before="88"/>
        <w:ind w:right="390"/>
      </w:pPr>
      <w:r>
        <w:rPr>
          <w:color w:val="6E6158"/>
        </w:rPr>
        <w:t>representation included the same and different banks in connection with the financing of</w:t>
      </w:r>
      <w:r>
        <w:rPr>
          <w:color w:val="6E6158"/>
          <w:spacing w:val="40"/>
        </w:rPr>
        <w:t> </w:t>
      </w:r>
      <w:r>
        <w:rPr>
          <w:color w:val="6E6158"/>
        </w:rPr>
        <w:t>additional phases of the golf course development as well as equipment and working </w:t>
      </w:r>
      <w:r>
        <w:rPr>
          <w:color w:val="6E6158"/>
        </w:rPr>
        <w:t>capital</w:t>
      </w:r>
      <w:r>
        <w:rPr>
          <w:color w:val="6E6158"/>
          <w:spacing w:val="40"/>
        </w:rPr>
        <w:t> </w:t>
      </w:r>
      <w:r>
        <w:rPr>
          <w:color w:val="6E6158"/>
        </w:rPr>
        <w:t>loans for the tribe.</w:t>
      </w:r>
    </w:p>
    <w:p>
      <w:pPr>
        <w:pStyle w:val="Heading1"/>
        <w:spacing w:before="158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39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152377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8233pt;width:1.65pt;height:1.65pt;mso-position-horizontal-relative:page;mso-position-vertical-relative:paragraph;z-index:15735296" id="docshape23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6"/>
          <w:sz w:val="20"/>
        </w:rPr>
        <w:t> </w:t>
      </w:r>
      <w:r>
        <w:rPr>
          <w:color w:val="6E6158"/>
          <w:sz w:val="19"/>
        </w:rPr>
        <w:t>Real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Estate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1987-</w:t>
      </w:r>
      <w:r>
        <w:rPr>
          <w:color w:val="6E6158"/>
          <w:spacing w:val="-4"/>
          <w:sz w:val="19"/>
        </w:rPr>
        <w:t>2025</w:t>
      </w:r>
    </w:p>
    <w:p>
      <w:pPr>
        <w:spacing w:before="164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168534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70458pt;width:1.65pt;height:1.65pt;mso-position-horizontal-relative:page;mso-position-vertical-relative:paragraph;z-index:15735808" id="docshape24" coordorigin="1675,265" coordsize="33,33" path="m1696,298l1687,298,1683,296,1676,290,1675,286,1675,277,1676,273,1683,267,1687,265,1696,265,1699,267,1706,273,1707,277,1707,282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4"/>
          <w:sz w:val="20"/>
        </w:rPr>
        <w:t> </w:t>
      </w:r>
      <w:r>
        <w:rPr>
          <w:color w:val="6E6158"/>
          <w:sz w:val="19"/>
        </w:rPr>
        <w:t>Commercial Finance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2022-</w:t>
      </w:r>
      <w:r>
        <w:rPr>
          <w:color w:val="6E6158"/>
          <w:spacing w:val="-4"/>
          <w:sz w:val="19"/>
        </w:rPr>
        <w:t>2025</w:t>
      </w:r>
    </w:p>
    <w:p>
      <w:pPr>
        <w:spacing w:before="165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168817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1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1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92684pt;width:1.65pt;height:1.65pt;mso-position-horizontal-relative:page;mso-position-vertical-relative:paragraph;z-index:15736320" id="docshape25" coordorigin="1675,266" coordsize="33,33" path="m1696,298l1687,298,1683,297,1676,290,1675,287,1675,278,1676,274,1683,267,1687,266,1696,266,1699,267,1706,274,1707,278,1707,282,1707,287,1706,290,1699,297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2"/>
          <w:sz w:val="20"/>
        </w:rPr>
        <w:t> </w:t>
      </w:r>
      <w:r>
        <w:rPr>
          <w:color w:val="6E6158"/>
          <w:sz w:val="19"/>
        </w:rPr>
        <w:t>Banking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and Finance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2023 and</w:t>
      </w:r>
      <w:r>
        <w:rPr>
          <w:color w:val="6E6158"/>
          <w:spacing w:val="1"/>
          <w:sz w:val="19"/>
        </w:rPr>
        <w:t> </w:t>
      </w:r>
      <w:r>
        <w:rPr>
          <w:color w:val="6E6158"/>
          <w:spacing w:val="-4"/>
          <w:sz w:val="19"/>
        </w:rPr>
        <w:t>2025</w:t>
      </w:r>
    </w:p>
    <w:p>
      <w:pPr>
        <w:spacing w:before="17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173631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71784pt;width:1.65pt;height:1.65pt;mso-position-horizontal-relative:page;mso-position-vertical-relative:paragraph;z-index:15736832" id="docshape26" coordorigin="1675,273" coordsize="33,33" path="m1696,306l1687,306,1683,304,1676,298,1675,294,1675,285,1676,281,1683,275,1687,273,1696,273,1699,275,1706,281,1707,285,1707,290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Chambers USA,</w:t>
      </w:r>
      <w:r>
        <w:rPr>
          <w:i/>
          <w:color w:val="6E6158"/>
          <w:spacing w:val="1"/>
          <w:sz w:val="20"/>
        </w:rPr>
        <w:t> </w:t>
      </w:r>
      <w:r>
        <w:rPr>
          <w:color w:val="6E6158"/>
          <w:sz w:val="19"/>
        </w:rPr>
        <w:t>Leading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Lawyers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for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Business,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2013-</w:t>
      </w:r>
      <w:r>
        <w:rPr>
          <w:color w:val="6E6158"/>
          <w:spacing w:val="-4"/>
          <w:sz w:val="19"/>
        </w:rPr>
        <w:t>2024</w:t>
      </w:r>
    </w:p>
    <w:p>
      <w:pPr>
        <w:spacing w:before="161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168335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54792pt;width:1.65pt;height:1.65pt;mso-position-horizontal-relative:page;mso-position-vertical-relative:paragraph;z-index:15737344" id="docshape27" coordorigin="1675,265" coordsize="33,33" path="m1696,298l1687,298,1683,296,1676,290,1675,286,1675,277,1676,273,1683,267,1687,265,1696,265,1699,267,1706,273,1707,277,1707,281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Top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pacing w:val="-2"/>
          <w:sz w:val="20"/>
        </w:rPr>
        <w:t>Lawyers,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pacing w:val="-2"/>
          <w:sz w:val="20"/>
        </w:rPr>
        <w:t>Vegas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pacing w:val="-2"/>
          <w:sz w:val="20"/>
        </w:rPr>
        <w:t>Inc.,</w:t>
      </w:r>
      <w:r>
        <w:rPr>
          <w:i/>
          <w:color w:val="6E6158"/>
          <w:spacing w:val="-8"/>
          <w:sz w:val="20"/>
        </w:rPr>
        <w:t> </w:t>
      </w:r>
      <w:r>
        <w:rPr>
          <w:color w:val="6E6158"/>
          <w:spacing w:val="-2"/>
          <w:sz w:val="19"/>
        </w:rPr>
        <w:t>2013,</w:t>
      </w:r>
      <w:r>
        <w:rPr>
          <w:color w:val="6E6158"/>
          <w:spacing w:val="-6"/>
          <w:sz w:val="19"/>
        </w:rPr>
        <w:t> </w:t>
      </w:r>
      <w:r>
        <w:rPr>
          <w:color w:val="6E6158"/>
          <w:spacing w:val="-4"/>
          <w:sz w:val="19"/>
        </w:rPr>
        <w:t>2021</w:t>
      </w:r>
    </w:p>
    <w:p>
      <w:pPr>
        <w:spacing w:line="403" w:lineRule="auto" w:before="165"/>
        <w:ind w:left="356" w:right="3687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168755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1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1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87799pt;width:1.65pt;height:1.65pt;mso-position-horizontal-relative:page;mso-position-vertical-relative:paragraph;z-index:15737856" id="docshape28" coordorigin="1675,266" coordsize="33,33" path="m1696,298l1687,298,1683,297,1676,290,1675,287,1675,278,1676,274,1683,267,1687,266,1696,266,1699,267,1706,274,1707,278,1707,282,1707,287,1706,290,1699,297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447789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5.259048pt;width:1.65pt;height:1.65pt;mso-position-horizontal-relative:page;mso-position-vertical-relative:paragraph;z-index:15738368" id="docshape29" coordorigin="1675,705" coordsize="33,33" path="m1696,738l1687,738,1683,736,1676,730,1675,726,1675,717,1676,713,1683,707,1687,705,1696,705,1699,707,1706,713,1707,717,1707,721,1707,726,1706,730,1699,736,1696,73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711322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6.009674pt;width:1.65pt;height:1.65pt;mso-position-horizontal-relative:page;mso-position-vertical-relative:paragraph;z-index:15738880" id="docshape30" coordorigin="1675,1120" coordsize="33,33" path="m1696,1153l1687,1153,1683,1151,1676,1145,1675,1141,1675,1132,1676,1128,1683,1122,1687,1120,1696,1120,1699,1122,1706,1128,1707,1132,1707,1136,1707,1141,1706,1145,1699,1151,1696,115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Mountain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States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10"/>
          <w:sz w:val="20"/>
        </w:rPr>
        <w:t> </w:t>
      </w:r>
      <w:r>
        <w:rPr>
          <w:color w:val="6E6158"/>
          <w:sz w:val="19"/>
        </w:rPr>
        <w:t>Real</w:t>
      </w:r>
      <w:r>
        <w:rPr>
          <w:color w:val="6E6158"/>
          <w:spacing w:val="-7"/>
          <w:sz w:val="19"/>
        </w:rPr>
        <w:t> </w:t>
      </w:r>
      <w:r>
        <w:rPr>
          <w:color w:val="6E6158"/>
          <w:sz w:val="19"/>
        </w:rPr>
        <w:t>Estate,</w:t>
      </w:r>
      <w:r>
        <w:rPr>
          <w:color w:val="6E6158"/>
          <w:spacing w:val="-7"/>
          <w:sz w:val="19"/>
        </w:rPr>
        <w:t> </w:t>
      </w:r>
      <w:r>
        <w:rPr>
          <w:color w:val="6E6158"/>
          <w:sz w:val="19"/>
        </w:rPr>
        <w:t>2007-</w:t>
      </w:r>
      <w:r>
        <w:rPr>
          <w:color w:val="6E6158"/>
          <w:sz w:val="19"/>
        </w:rPr>
        <w:t>2024 “Legal Elite,” </w:t>
      </w:r>
      <w:r>
        <w:rPr>
          <w:i/>
          <w:color w:val="6E6158"/>
          <w:sz w:val="20"/>
        </w:rPr>
        <w:t>Nevada Business Magazine, </w:t>
      </w:r>
      <w:r>
        <w:rPr>
          <w:color w:val="6E6158"/>
          <w:sz w:val="19"/>
        </w:rPr>
        <w:t>2015 </w:t>
      </w:r>
      <w:r>
        <w:rPr>
          <w:i/>
          <w:color w:val="6E6158"/>
          <w:sz w:val="20"/>
        </w:rPr>
        <w:t>Nevada’s Best Lawyers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 </w:t>
      </w:r>
      <w:r>
        <w:rPr>
          <w:color w:val="6E6158"/>
          <w:sz w:val="19"/>
        </w:rPr>
        <w:t>2013</w:t>
      </w:r>
    </w:p>
    <w:p>
      <w:pPr>
        <w:pStyle w:val="BodyText"/>
        <w:spacing w:before="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62994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60218pt;width:1.65pt;height:1.65pt;mso-position-horizontal-relative:page;mso-position-vertical-relative:paragraph;z-index:15739392" id="docshape31" coordorigin="1675,99" coordsize="33,33" path="m1696,132l1687,132,1683,130,1676,124,1675,120,1675,111,1676,107,1683,101,1687,99,1696,99,1699,101,1706,107,1707,111,1707,115,1707,120,1706,124,1699,130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Volunteer</w:t>
      </w:r>
      <w:r>
        <w:rPr>
          <w:color w:val="6E6158"/>
          <w:spacing w:val="2"/>
        </w:rPr>
        <w:t> </w:t>
      </w:r>
      <w:r>
        <w:rPr>
          <w:color w:val="6E6158"/>
        </w:rPr>
        <w:t>of</w:t>
      </w:r>
      <w:r>
        <w:rPr>
          <w:color w:val="6E6158"/>
          <w:spacing w:val="3"/>
        </w:rPr>
        <w:t> </w:t>
      </w:r>
      <w:r>
        <w:rPr>
          <w:color w:val="6E6158"/>
        </w:rPr>
        <w:t>the</w:t>
      </w:r>
      <w:r>
        <w:rPr>
          <w:color w:val="6E6158"/>
          <w:spacing w:val="3"/>
        </w:rPr>
        <w:t> </w:t>
      </w:r>
      <w:r>
        <w:rPr>
          <w:color w:val="6E6158"/>
        </w:rPr>
        <w:t>Year,</w:t>
      </w:r>
      <w:r>
        <w:rPr>
          <w:color w:val="6E6158"/>
          <w:spacing w:val="2"/>
        </w:rPr>
        <w:t> </w:t>
      </w:r>
      <w:r>
        <w:rPr>
          <w:color w:val="6E6158"/>
        </w:rPr>
        <w:t>State</w:t>
      </w:r>
      <w:r>
        <w:rPr>
          <w:color w:val="6E6158"/>
          <w:spacing w:val="3"/>
        </w:rPr>
        <w:t> </w:t>
      </w:r>
      <w:r>
        <w:rPr>
          <w:color w:val="6E6158"/>
        </w:rPr>
        <w:t>Bar</w:t>
      </w:r>
      <w:r>
        <w:rPr>
          <w:color w:val="6E6158"/>
          <w:spacing w:val="3"/>
        </w:rPr>
        <w:t> </w:t>
      </w:r>
      <w:r>
        <w:rPr>
          <w:color w:val="6E6158"/>
        </w:rPr>
        <w:t>of</w:t>
      </w:r>
      <w:r>
        <w:rPr>
          <w:color w:val="6E6158"/>
          <w:spacing w:val="2"/>
        </w:rPr>
        <w:t> </w:t>
      </w:r>
      <w:r>
        <w:rPr>
          <w:color w:val="6E6158"/>
        </w:rPr>
        <w:t>Nevada,</w:t>
      </w:r>
      <w:r>
        <w:rPr>
          <w:color w:val="6E6158"/>
          <w:spacing w:val="3"/>
        </w:rPr>
        <w:t> </w:t>
      </w:r>
      <w:r>
        <w:rPr>
          <w:color w:val="6E6158"/>
          <w:spacing w:val="-4"/>
        </w:rPr>
        <w:t>2013</w:t>
      </w:r>
    </w:p>
    <w:p>
      <w:pPr>
        <w:pStyle w:val="Heading2"/>
        <w:spacing w:before="164"/>
        <w:rPr>
          <w:i w:val="0"/>
          <w:sz w:val="19"/>
        </w:rPr>
      </w:pPr>
      <w:r>
        <w:rPr>
          <w:i w:val="0"/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170259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6262pt;width:1.65pt;height:1.65pt;mso-position-horizontal-relative:page;mso-position-vertical-relative:paragraph;z-index:15739904" id="docshape32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</w:rPr>
        <w:t>Who’s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Who</w:t>
      </w:r>
      <w:r>
        <w:rPr>
          <w:i/>
          <w:color w:val="6E6158"/>
          <w:spacing w:val="-8"/>
        </w:rPr>
        <w:t> </w:t>
      </w:r>
      <w:r>
        <w:rPr>
          <w:i/>
          <w:color w:val="6E6158"/>
          <w:spacing w:val="-2"/>
        </w:rPr>
        <w:t>Legal: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The</w:t>
      </w:r>
      <w:r>
        <w:rPr>
          <w:i/>
          <w:color w:val="6E6158"/>
          <w:spacing w:val="-8"/>
        </w:rPr>
        <w:t> </w:t>
      </w:r>
      <w:r>
        <w:rPr>
          <w:i/>
          <w:color w:val="6E6158"/>
          <w:spacing w:val="-2"/>
        </w:rPr>
        <w:t>International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Who’s</w:t>
      </w:r>
      <w:r>
        <w:rPr>
          <w:i/>
          <w:color w:val="6E6158"/>
          <w:spacing w:val="-8"/>
        </w:rPr>
        <w:t> </w:t>
      </w:r>
      <w:r>
        <w:rPr>
          <w:i/>
          <w:color w:val="6E6158"/>
          <w:spacing w:val="-2"/>
        </w:rPr>
        <w:t>Who</w:t>
      </w:r>
      <w:r>
        <w:rPr>
          <w:i/>
          <w:color w:val="6E6158"/>
          <w:spacing w:val="-8"/>
        </w:rPr>
        <w:t> </w:t>
      </w:r>
      <w:r>
        <w:rPr>
          <w:i/>
          <w:color w:val="6E6158"/>
          <w:spacing w:val="-2"/>
        </w:rPr>
        <w:t>of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Business</w:t>
      </w:r>
      <w:r>
        <w:rPr>
          <w:i/>
          <w:color w:val="6E6158"/>
          <w:spacing w:val="-8"/>
        </w:rPr>
        <w:t> </w:t>
      </w:r>
      <w:r>
        <w:rPr>
          <w:i/>
          <w:color w:val="6E6158"/>
          <w:spacing w:val="-2"/>
        </w:rPr>
        <w:t>Lawyers,</w:t>
      </w:r>
      <w:r>
        <w:rPr>
          <w:i/>
          <w:color w:val="6E6158"/>
          <w:spacing w:val="-9"/>
        </w:rPr>
        <w:t> </w:t>
      </w:r>
      <w:r>
        <w:rPr>
          <w:i w:val="0"/>
          <w:color w:val="6E6158"/>
          <w:spacing w:val="-4"/>
          <w:sz w:val="19"/>
        </w:rPr>
        <w:t>2013</w:t>
      </w:r>
    </w:p>
    <w:p>
      <w:pPr>
        <w:spacing w:before="173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173941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96144pt;width:1.65pt;height:1.65pt;mso-position-horizontal-relative:page;mso-position-vertical-relative:paragraph;z-index:15740416" id="docshape33" coordorigin="1675,274" coordsize="33,33" path="m1696,306l1687,306,1683,305,1676,299,1675,295,1675,286,1676,282,1683,276,1687,274,1696,274,1699,276,1706,282,1707,286,1707,290,1707,295,1706,299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Mountain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States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11"/>
          <w:sz w:val="20"/>
        </w:rPr>
        <w:t> </w:t>
      </w:r>
      <w:r>
        <w:rPr>
          <w:color w:val="6E6158"/>
          <w:sz w:val="19"/>
        </w:rPr>
        <w:t>Top</w:t>
      </w:r>
      <w:r>
        <w:rPr>
          <w:color w:val="6E6158"/>
          <w:spacing w:val="-7"/>
          <w:sz w:val="19"/>
        </w:rPr>
        <w:t> </w:t>
      </w:r>
      <w:r>
        <w:rPr>
          <w:color w:val="6E6158"/>
          <w:sz w:val="19"/>
        </w:rPr>
        <w:t>100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Attorneys,</w:t>
      </w:r>
      <w:r>
        <w:rPr>
          <w:color w:val="6E6158"/>
          <w:spacing w:val="-7"/>
          <w:sz w:val="19"/>
        </w:rPr>
        <w:t> </w:t>
      </w:r>
      <w:r>
        <w:rPr>
          <w:color w:val="6E6158"/>
          <w:spacing w:val="-4"/>
          <w:sz w:val="19"/>
        </w:rPr>
        <w:t>2012</w:t>
      </w:r>
    </w:p>
    <w:p>
      <w:pPr>
        <w:pStyle w:val="Heading2"/>
        <w:rPr>
          <w:i w:val="0"/>
          <w:sz w:val="19"/>
        </w:rPr>
      </w:pPr>
      <w:r>
        <w:rPr>
          <w:i w:val="0"/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168508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6837pt;width:1.65pt;height:1.65pt;mso-position-horizontal-relative:page;mso-position-vertical-relative:paragraph;z-index:15740928" id="docshape34" coordorigin="1675,265" coordsize="33,33" path="m1696,298l1687,298,1683,296,1676,290,1675,286,1675,277,1676,273,1683,267,1687,265,1696,265,1699,267,1706,273,1707,277,1707,282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</w:rPr>
        <w:t>International</w:t>
      </w:r>
      <w:r>
        <w:rPr>
          <w:i/>
          <w:color w:val="6E6158"/>
          <w:spacing w:val="-8"/>
        </w:rPr>
        <w:t> </w:t>
      </w:r>
      <w:r>
        <w:rPr>
          <w:i/>
          <w:color w:val="6E6158"/>
          <w:spacing w:val="-2"/>
        </w:rPr>
        <w:t>Who’s</w:t>
      </w:r>
      <w:r>
        <w:rPr>
          <w:i/>
          <w:color w:val="6E6158"/>
          <w:spacing w:val="-8"/>
        </w:rPr>
        <w:t> </w:t>
      </w:r>
      <w:r>
        <w:rPr>
          <w:i/>
          <w:color w:val="6E6158"/>
          <w:spacing w:val="-2"/>
        </w:rPr>
        <w:t>Who</w:t>
      </w:r>
      <w:r>
        <w:rPr>
          <w:i/>
          <w:color w:val="6E6158"/>
          <w:spacing w:val="-8"/>
        </w:rPr>
        <w:t> </w:t>
      </w:r>
      <w:r>
        <w:rPr>
          <w:i/>
          <w:color w:val="6E6158"/>
          <w:spacing w:val="-2"/>
        </w:rPr>
        <w:t>of</w:t>
      </w:r>
      <w:r>
        <w:rPr>
          <w:i/>
          <w:color w:val="6E6158"/>
          <w:spacing w:val="-7"/>
        </w:rPr>
        <w:t> </w:t>
      </w:r>
      <w:r>
        <w:rPr>
          <w:i/>
          <w:color w:val="6E6158"/>
          <w:spacing w:val="-2"/>
        </w:rPr>
        <w:t>Real</w:t>
      </w:r>
      <w:r>
        <w:rPr>
          <w:i/>
          <w:color w:val="6E6158"/>
          <w:spacing w:val="-8"/>
        </w:rPr>
        <w:t> </w:t>
      </w:r>
      <w:r>
        <w:rPr>
          <w:i/>
          <w:color w:val="6E6158"/>
          <w:spacing w:val="-2"/>
        </w:rPr>
        <w:t>Estate</w:t>
      </w:r>
      <w:r>
        <w:rPr>
          <w:i/>
          <w:color w:val="6E6158"/>
          <w:spacing w:val="-8"/>
        </w:rPr>
        <w:t> </w:t>
      </w:r>
      <w:r>
        <w:rPr>
          <w:i/>
          <w:color w:val="6E6158"/>
          <w:spacing w:val="-2"/>
        </w:rPr>
        <w:t>Lawyers</w:t>
      </w:r>
      <w:r>
        <w:rPr>
          <w:i w:val="0"/>
          <w:color w:val="6E6158"/>
          <w:spacing w:val="-2"/>
          <w:sz w:val="19"/>
        </w:rPr>
        <w:t>,</w:t>
      </w:r>
      <w:r>
        <w:rPr>
          <w:i w:val="0"/>
          <w:color w:val="6E6158"/>
          <w:spacing w:val="-5"/>
          <w:sz w:val="19"/>
        </w:rPr>
        <w:t> </w:t>
      </w:r>
      <w:r>
        <w:rPr>
          <w:i w:val="0"/>
          <w:color w:val="6E6158"/>
          <w:spacing w:val="-4"/>
          <w:sz w:val="19"/>
        </w:rPr>
        <w:t>2012</w:t>
      </w:r>
    </w:p>
    <w:p>
      <w:pPr>
        <w:spacing w:before="161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168292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51377pt;width:1.65pt;height:1.65pt;mso-position-horizontal-relative:page;mso-position-vertical-relative:paragraph;z-index:15741440" id="docshape35" coordorigin="1675,265" coordsize="33,33" path="m1696,298l1687,298,1683,296,1676,290,1675,286,1675,277,1676,273,1683,267,1687,265,1696,265,1699,267,1706,273,1707,277,1707,281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Top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100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Attorneys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in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the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Mountain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States,</w:t>
      </w:r>
      <w:r>
        <w:rPr>
          <w:color w:val="6E6158"/>
          <w:spacing w:val="2"/>
          <w:sz w:val="19"/>
        </w:rPr>
        <w:t> </w:t>
      </w:r>
      <w:r>
        <w:rPr>
          <w:i/>
          <w:color w:val="6E6158"/>
          <w:sz w:val="20"/>
        </w:rPr>
        <w:t>Salt Lake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Magazine,</w:t>
      </w:r>
      <w:r>
        <w:rPr>
          <w:i/>
          <w:color w:val="6E6158"/>
          <w:spacing w:val="-1"/>
          <w:sz w:val="20"/>
        </w:rPr>
        <w:t> </w:t>
      </w:r>
      <w:r>
        <w:rPr>
          <w:color w:val="6E6158"/>
          <w:sz w:val="19"/>
        </w:rPr>
        <w:t>July</w:t>
      </w:r>
      <w:r>
        <w:rPr>
          <w:color w:val="6E6158"/>
          <w:spacing w:val="3"/>
          <w:sz w:val="19"/>
        </w:rPr>
        <w:t> </w:t>
      </w:r>
      <w:r>
        <w:rPr>
          <w:color w:val="6E6158"/>
          <w:spacing w:val="-4"/>
          <w:sz w:val="19"/>
        </w:rPr>
        <w:t>2012</w:t>
      </w:r>
    </w:p>
    <w:p>
      <w:pPr>
        <w:spacing w:before="165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168711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84384pt;width:1.65pt;height:1.65pt;mso-position-horizontal-relative:page;mso-position-vertical-relative:paragraph;z-index:15741952" id="docshape36" coordorigin="1675,266" coordsize="33,33" path="m1696,298l1687,298,1683,297,1676,290,1675,286,1675,277,1676,274,1683,267,1687,266,1696,266,1699,267,1706,274,1707,277,1707,282,1707,286,1706,290,1699,297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Mountain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States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11"/>
          <w:sz w:val="20"/>
        </w:rPr>
        <w:t> </w:t>
      </w:r>
      <w:r>
        <w:rPr>
          <w:color w:val="6E6158"/>
          <w:sz w:val="19"/>
        </w:rPr>
        <w:t>Top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75</w:t>
      </w:r>
      <w:r>
        <w:rPr>
          <w:color w:val="6E6158"/>
          <w:spacing w:val="-7"/>
          <w:sz w:val="19"/>
        </w:rPr>
        <w:t> </w:t>
      </w:r>
      <w:r>
        <w:rPr>
          <w:color w:val="6E6158"/>
          <w:sz w:val="19"/>
        </w:rPr>
        <w:t>Attorneys,</w:t>
      </w:r>
      <w:r>
        <w:rPr>
          <w:color w:val="6E6158"/>
          <w:spacing w:val="-8"/>
          <w:sz w:val="19"/>
        </w:rPr>
        <w:t> </w:t>
      </w:r>
      <w:r>
        <w:rPr>
          <w:color w:val="6E6158"/>
          <w:spacing w:val="-4"/>
          <w:sz w:val="19"/>
        </w:rPr>
        <w:t>2011</w:t>
      </w:r>
    </w:p>
    <w:p>
      <w:pPr>
        <w:pStyle w:val="BodyText"/>
        <w:spacing w:before="1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173526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63485pt;width:1.65pt;height:1.65pt;mso-position-horizontal-relative:page;mso-position-vertical-relative:paragraph;z-index:15742464" id="docshape37" coordorigin="1675,273" coordsize="33,33" path="m1696,306l1687,306,1683,304,1676,298,1675,294,1675,285,1676,281,1683,275,1687,273,1696,273,1699,275,1706,281,1707,285,1707,290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</w:t>
      </w:r>
      <w:r>
        <w:rPr>
          <w:color w:val="6E6158"/>
          <w:position w:val="7"/>
          <w:sz w:val="16"/>
        </w:rPr>
        <w:t>®</w:t>
      </w:r>
      <w:r>
        <w:rPr>
          <w:color w:val="6E6158"/>
          <w:spacing w:val="20"/>
          <w:position w:val="7"/>
          <w:sz w:val="16"/>
        </w:rPr>
        <w:t> </w:t>
      </w:r>
      <w:r>
        <w:rPr>
          <w:color w:val="6E6158"/>
        </w:rPr>
        <w:t>Preeminent™</w:t>
      </w:r>
      <w:r>
        <w:rPr>
          <w:color w:val="6E6158"/>
          <w:spacing w:val="13"/>
        </w:rPr>
        <w:t> </w:t>
      </w:r>
      <w:r>
        <w:rPr>
          <w:color w:val="6E6158"/>
        </w:rPr>
        <w:t>Peer</w:t>
      </w:r>
      <w:r>
        <w:rPr>
          <w:color w:val="6E6158"/>
          <w:spacing w:val="12"/>
        </w:rPr>
        <w:t> </w:t>
      </w:r>
      <w:r>
        <w:rPr>
          <w:color w:val="6E6158"/>
        </w:rPr>
        <w:t>Review</w:t>
      </w:r>
      <w:r>
        <w:rPr>
          <w:color w:val="6E6158"/>
          <w:spacing w:val="13"/>
        </w:rPr>
        <w:t> </w:t>
      </w:r>
      <w:r>
        <w:rPr>
          <w:color w:val="6E6158"/>
        </w:rPr>
        <w:t>Rated</w:t>
      </w:r>
      <w:r>
        <w:rPr>
          <w:color w:val="6E6158"/>
          <w:spacing w:val="13"/>
        </w:rPr>
        <w:t> </w:t>
      </w:r>
      <w:r>
        <w:rPr>
          <w:color w:val="6E6158"/>
        </w:rPr>
        <w:t>(the</w:t>
      </w:r>
      <w:r>
        <w:rPr>
          <w:color w:val="6E6158"/>
          <w:spacing w:val="12"/>
        </w:rPr>
        <w:t> </w:t>
      </w:r>
      <w:r>
        <w:rPr>
          <w:color w:val="6E6158"/>
        </w:rPr>
        <w:t>highest</w:t>
      </w:r>
      <w:r>
        <w:rPr>
          <w:color w:val="6E6158"/>
          <w:spacing w:val="13"/>
        </w:rPr>
        <w:t> </w:t>
      </w:r>
      <w:r>
        <w:rPr>
          <w:color w:val="6E6158"/>
        </w:rPr>
        <w:t>rating</w:t>
      </w:r>
      <w:r>
        <w:rPr>
          <w:color w:val="6E6158"/>
          <w:spacing w:val="13"/>
        </w:rPr>
        <w:t> </w:t>
      </w:r>
      <w:r>
        <w:rPr>
          <w:color w:val="6E6158"/>
        </w:rPr>
        <w:t>available),</w:t>
      </w:r>
      <w:r>
        <w:rPr>
          <w:color w:val="6E6158"/>
          <w:spacing w:val="12"/>
        </w:rPr>
        <w:t> </w:t>
      </w:r>
      <w:r>
        <w:rPr>
          <w:color w:val="6E6158"/>
        </w:rPr>
        <w:t>by</w:t>
      </w:r>
      <w:r>
        <w:rPr>
          <w:color w:val="6E6158"/>
          <w:spacing w:val="13"/>
        </w:rPr>
        <w:t> </w:t>
      </w:r>
      <w:r>
        <w:rPr>
          <w:color w:val="6E6158"/>
        </w:rPr>
        <w:t>Martindale-</w:t>
      </w:r>
      <w:r>
        <w:rPr>
          <w:color w:val="6E6158"/>
          <w:spacing w:val="-2"/>
        </w:rPr>
        <w:t>Hubbell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152765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8786pt;width:1.65pt;height:1.65pt;mso-position-horizontal-relative:page;mso-position-vertical-relative:paragraph;z-index:15742976" id="docshape38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 and Lead Editor, Nevada Real Property Practice and Procedure Manual, State Bar of Nevada, 2d Edition (2025), 1st ed. (2021)</w:t>
      </w:r>
    </w:p>
    <w:p>
      <w:pPr>
        <w:pStyle w:val="BodyText"/>
        <w:spacing w:line="420" w:lineRule="auto"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142870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9634pt;width:1.65pt;height:1.65pt;mso-position-horizontal-relative:page;mso-position-vertical-relative:paragraph;z-index:15743488" id="docshape39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401235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593384pt;width:1.65pt;height:1.65pt;mso-position-horizontal-relative:page;mso-position-vertical-relative:paragraph;z-index:15744000" id="docshape40" coordorigin="1675,632" coordsize="33,33" path="m1696,664l1687,664,1683,663,1676,656,1675,653,1675,644,1676,640,1683,633,1687,632,1696,632,1699,633,1706,640,1707,644,1707,648,1707,653,1706,656,1699,663,1696,66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The Law of Easements, Nevada Land Laws, Halfmoon Seminars, December </w:t>
      </w:r>
      <w:r>
        <w:rPr>
          <w:color w:val="6E6158"/>
        </w:rPr>
        <w:t>2024. Presenter, Nevada Real Estate Transaction Documents A-Z, NBI, December 2024.</w:t>
      </w:r>
    </w:p>
    <w:p>
      <w:pPr>
        <w:pStyle w:val="BodyText"/>
        <w:spacing w:line="29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58676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20164pt;width:1.65pt;height:1.65pt;mso-position-horizontal-relative:page;mso-position-vertical-relative:paragraph;z-index:15744512" id="docshape41" coordorigin="1675,92" coordsize="33,33" path="m1696,125l1687,125,1683,123,1676,117,1675,113,1675,104,1676,100,1683,94,1687,92,1696,92,1699,94,1706,100,1707,104,1707,109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Hang 10: Riding the Wave in Troubled (Loan) Waters, State Bar of Nevada Annual Meeting, June 2024.</w:t>
      </w:r>
    </w:p>
    <w:p>
      <w:pPr>
        <w:pStyle w:val="BodyText"/>
        <w:spacing w:before="13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142125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191013pt;width:1.65pt;height:1.65pt;mso-position-horizontal-relative:page;mso-position-vertical-relative:paragraph;z-index:15745024" id="docshape42" coordorigin="1675,224" coordsize="33,33" path="m1696,256l1687,256,1683,255,1676,248,1675,245,1675,236,1676,232,1683,225,1687,224,1696,224,1699,225,1706,232,1707,236,1707,240,1707,245,1706,248,1699,255,1696,25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11"/>
        </w:rPr>
        <w:t> </w:t>
      </w:r>
      <w:r>
        <w:rPr>
          <w:color w:val="6E6158"/>
        </w:rPr>
        <w:t>Nevada</w:t>
      </w:r>
      <w:r>
        <w:rPr>
          <w:color w:val="6E6158"/>
          <w:spacing w:val="11"/>
        </w:rPr>
        <w:t> </w:t>
      </w:r>
      <w:r>
        <w:rPr>
          <w:color w:val="6E6158"/>
        </w:rPr>
        <w:t>Real</w:t>
      </w:r>
      <w:r>
        <w:rPr>
          <w:color w:val="6E6158"/>
          <w:spacing w:val="11"/>
        </w:rPr>
        <w:t> </w:t>
      </w:r>
      <w:r>
        <w:rPr>
          <w:color w:val="6E6158"/>
        </w:rPr>
        <w:t>Estate</w:t>
      </w:r>
      <w:r>
        <w:rPr>
          <w:color w:val="6E6158"/>
          <w:spacing w:val="11"/>
        </w:rPr>
        <w:t> </w:t>
      </w:r>
      <w:r>
        <w:rPr>
          <w:color w:val="6E6158"/>
        </w:rPr>
        <w:t>Law</w:t>
      </w:r>
      <w:r>
        <w:rPr>
          <w:color w:val="6E6158"/>
          <w:spacing w:val="11"/>
        </w:rPr>
        <w:t> </w:t>
      </w:r>
      <w:r>
        <w:rPr>
          <w:color w:val="6E6158"/>
        </w:rPr>
        <w:t>Updates</w:t>
      </w:r>
      <w:r>
        <w:rPr>
          <w:color w:val="6E6158"/>
          <w:spacing w:val="11"/>
        </w:rPr>
        <w:t> </w:t>
      </w:r>
      <w:r>
        <w:rPr>
          <w:color w:val="6E6158"/>
        </w:rPr>
        <w:t>2023,</w:t>
      </w:r>
      <w:r>
        <w:rPr>
          <w:color w:val="6E6158"/>
          <w:spacing w:val="11"/>
        </w:rPr>
        <w:t> </w:t>
      </w:r>
      <w:r>
        <w:rPr>
          <w:color w:val="6E6158"/>
        </w:rPr>
        <w:t>NBI,</w:t>
      </w:r>
      <w:r>
        <w:rPr>
          <w:color w:val="6E6158"/>
          <w:spacing w:val="11"/>
        </w:rPr>
        <w:t> </w:t>
      </w:r>
      <w:r>
        <w:rPr>
          <w:color w:val="6E6158"/>
        </w:rPr>
        <w:t>September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2023.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170015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7057pt;width:1.65pt;height:1.65pt;mso-position-horizontal-relative:page;mso-position-vertical-relative:paragraph;z-index:15745536" id="docshape43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9"/>
        </w:rPr>
        <w:t> </w:t>
      </w:r>
      <w:r>
        <w:rPr>
          <w:color w:val="6E6158"/>
        </w:rPr>
        <w:t>“Making</w:t>
      </w:r>
      <w:r>
        <w:rPr>
          <w:color w:val="6E6158"/>
          <w:spacing w:val="10"/>
        </w:rPr>
        <w:t> </w:t>
      </w:r>
      <w:r>
        <w:rPr>
          <w:color w:val="6E6158"/>
        </w:rPr>
        <w:t>it</w:t>
      </w:r>
      <w:r>
        <w:rPr>
          <w:color w:val="6E6158"/>
          <w:spacing w:val="9"/>
        </w:rPr>
        <w:t> </w:t>
      </w:r>
      <w:r>
        <w:rPr>
          <w:color w:val="6E6158"/>
        </w:rPr>
        <w:t>Work:</w:t>
      </w:r>
      <w:r>
        <w:rPr>
          <w:color w:val="6E6158"/>
          <w:spacing w:val="10"/>
        </w:rPr>
        <w:t> </w:t>
      </w:r>
      <w:r>
        <w:rPr>
          <w:color w:val="6E6158"/>
        </w:rPr>
        <w:t>Golf</w:t>
      </w:r>
      <w:r>
        <w:rPr>
          <w:color w:val="6E6158"/>
          <w:spacing w:val="9"/>
        </w:rPr>
        <w:t> </w:t>
      </w:r>
      <w:r>
        <w:rPr>
          <w:color w:val="6E6158"/>
        </w:rPr>
        <w:t>Course</w:t>
      </w:r>
      <w:r>
        <w:rPr>
          <w:color w:val="6E6158"/>
          <w:spacing w:val="10"/>
        </w:rPr>
        <w:t> </w:t>
      </w:r>
      <w:r>
        <w:rPr>
          <w:color w:val="6E6158"/>
        </w:rPr>
        <w:t>Conversions,”</w:t>
      </w:r>
      <w:r>
        <w:rPr>
          <w:color w:val="6E6158"/>
          <w:spacing w:val="10"/>
        </w:rPr>
        <w:t> </w:t>
      </w:r>
      <w:r>
        <w:rPr>
          <w:color w:val="6E6158"/>
        </w:rPr>
        <w:t>Nevada</w:t>
      </w:r>
      <w:r>
        <w:rPr>
          <w:color w:val="6E6158"/>
          <w:spacing w:val="9"/>
        </w:rPr>
        <w:t> </w:t>
      </w:r>
      <w:r>
        <w:rPr>
          <w:color w:val="6E6158"/>
        </w:rPr>
        <w:t>Lawyer,</w:t>
      </w:r>
      <w:r>
        <w:rPr>
          <w:color w:val="6E6158"/>
          <w:spacing w:val="10"/>
        </w:rPr>
        <w:t> </w:t>
      </w:r>
      <w:r>
        <w:rPr>
          <w:color w:val="6E6158"/>
        </w:rPr>
        <w:t>September</w:t>
      </w:r>
      <w:r>
        <w:rPr>
          <w:color w:val="6E6158"/>
          <w:spacing w:val="9"/>
        </w:rPr>
        <w:t> </w:t>
      </w:r>
      <w:r>
        <w:rPr>
          <w:color w:val="6E6158"/>
          <w:spacing w:val="-4"/>
        </w:rPr>
        <w:t>2018</w:t>
      </w:r>
    </w:p>
    <w:p>
      <w:pPr>
        <w:pStyle w:val="BodyText"/>
        <w:spacing w:line="292" w:lineRule="auto" w:before="174"/>
        <w:ind w:right="3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169965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3101pt;width:1.65pt;height:1.65pt;mso-position-horizontal-relative:page;mso-position-vertical-relative:paragraph;z-index:15746048" id="docshape44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“Drones: Real Estate Issues and Privacy,” 2017 State Bar of Nevada Annual Meeting, June 30, 2017</w:t>
      </w:r>
    </w:p>
    <w:p>
      <w:pPr>
        <w:pStyle w:val="BodyText"/>
        <w:spacing w:line="292" w:lineRule="auto" w:before="131"/>
        <w:ind w:right="3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142925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3949pt;width:1.65pt;height:1.65pt;mso-position-horizontal-relative:page;mso-position-vertical-relative:paragraph;z-index:15746560" id="docshape45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“Creation of ‘The Commission’… How? When? And Why?” Community </w:t>
      </w:r>
      <w:r>
        <w:rPr>
          <w:color w:val="6E6158"/>
        </w:rPr>
        <w:t>Interests, May 2017</w:t>
      </w:r>
    </w:p>
    <w:p>
      <w:pPr>
        <w:pStyle w:val="Heading1"/>
        <w:spacing w:before="285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7" w:lineRule="auto" w:before="147"/>
        <w:ind w:right="21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152575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3781pt;width:1.65pt;height:1.65pt;mso-position-horizontal-relative:page;mso-position-vertical-relative:paragraph;z-index:15747072" id="docshape46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416107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4404pt;width:1.65pt;height:1.65pt;mso-position-horizontal-relative:page;mso-position-vertical-relative:paragraph;z-index:15747584" id="docshape47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American Bar Association (Real Property, Trust and </w:t>
      </w:r>
      <w:r>
        <w:rPr>
          <w:color w:val="6E6158"/>
        </w:rPr>
        <w:t>Estate) Fellow, American Bar Foundation</w:t>
      </w:r>
    </w:p>
    <w:p>
      <w:pPr>
        <w:pStyle w:val="BodyText"/>
        <w:spacing w:after="0" w:line="427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2" w:lineRule="auto" w:before="88"/>
        <w:ind w:right="3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115610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211pt;width:1.65pt;height:1.65pt;mso-position-horizontal-relative:page;mso-position-vertical-relative:paragraph;z-index:15748096" id="docshape48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State Bar of Nevada (Real Property, Construction Law and Business Law </w:t>
      </w:r>
      <w:r>
        <w:rPr>
          <w:color w:val="6E6158"/>
        </w:rPr>
        <w:t>Sections; Chair, Executive Committee, Real Property Section)</w:t>
      </w:r>
    </w:p>
    <w:p>
      <w:pPr>
        <w:pStyle w:val="BodyText"/>
        <w:spacing w:line="292" w:lineRule="auto"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143180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406pt;width:1.65pt;height:1.65pt;mso-position-horizontal-relative:page;mso-position-vertical-relative:paragraph;z-index:15748608" id="docshape49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Fellow, American College of Real Estate Lawyers, member and former chair, Land Use and Environmental and Public Policy Committees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137643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8033pt;width:1.65pt;height:1.65pt;mso-position-horizontal-relative:page;mso-position-vertical-relative:paragraph;z-index:15749120" id="docshape50" coordorigin="1675,217" coordsize="33,33" path="m1696,249l1687,249,1683,248,1676,241,1675,238,1675,229,1676,225,1683,218,1687,217,1696,217,1699,218,1706,225,1707,229,1707,233,1707,238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Fellow,</w:t>
      </w:r>
      <w:r>
        <w:rPr>
          <w:color w:val="6E6158"/>
          <w:spacing w:val="14"/>
        </w:rPr>
        <w:t> </w:t>
      </w:r>
      <w:r>
        <w:rPr>
          <w:color w:val="6E6158"/>
        </w:rPr>
        <w:t>American</w:t>
      </w:r>
      <w:r>
        <w:rPr>
          <w:color w:val="6E6158"/>
          <w:spacing w:val="15"/>
        </w:rPr>
        <w:t> </w:t>
      </w:r>
      <w:r>
        <w:rPr>
          <w:color w:val="6E6158"/>
        </w:rPr>
        <w:t>College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5"/>
        </w:rPr>
        <w:t> </w:t>
      </w:r>
      <w:r>
        <w:rPr>
          <w:color w:val="6E6158"/>
        </w:rPr>
        <w:t>Mortgage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Attorneys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169977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4077pt;width:1.65pt;height:1.65pt;mso-position-horizontal-relative:page;mso-position-vertical-relative:paragraph;z-index:15749632" id="docshape51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Fellow,</w:t>
      </w:r>
      <w:r>
        <w:rPr>
          <w:color w:val="6E6158"/>
          <w:spacing w:val="15"/>
        </w:rPr>
        <w:t> </w:t>
      </w:r>
      <w:r>
        <w:rPr>
          <w:color w:val="6E6158"/>
        </w:rPr>
        <w:t>American</w:t>
      </w:r>
      <w:r>
        <w:rPr>
          <w:color w:val="6E6158"/>
          <w:spacing w:val="15"/>
        </w:rPr>
        <w:t> </w:t>
      </w:r>
      <w:r>
        <w:rPr>
          <w:color w:val="6E6158"/>
        </w:rPr>
        <w:t>College</w:t>
      </w:r>
      <w:r>
        <w:rPr>
          <w:color w:val="6E6158"/>
          <w:spacing w:val="15"/>
        </w:rPr>
        <w:t> </w:t>
      </w:r>
      <w:r>
        <w:rPr>
          <w:color w:val="6E6158"/>
        </w:rPr>
        <w:t>of</w:t>
      </w:r>
      <w:r>
        <w:rPr>
          <w:color w:val="6E6158"/>
          <w:spacing w:val="15"/>
        </w:rPr>
        <w:t> </w:t>
      </w:r>
      <w:r>
        <w:rPr>
          <w:color w:val="6E6158"/>
        </w:rPr>
        <w:t>Commercial</w:t>
      </w:r>
      <w:r>
        <w:rPr>
          <w:color w:val="6E6158"/>
          <w:spacing w:val="15"/>
        </w:rPr>
        <w:t> </w:t>
      </w:r>
      <w:r>
        <w:rPr>
          <w:color w:val="6E6158"/>
        </w:rPr>
        <w:t>Finance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Lawyers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175094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6996pt;width:1.65pt;height:1.65pt;mso-position-horizontal-relative:page;mso-position-vertical-relative:paragraph;z-index:15750144" id="docshape52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</w:t>
      </w:r>
      <w:r>
        <w:rPr>
          <w:color w:val="6E6158"/>
          <w:spacing w:val="14"/>
        </w:rPr>
        <w:t> </w:t>
      </w:r>
      <w:r>
        <w:rPr>
          <w:color w:val="6E6158"/>
        </w:rPr>
        <w:t>Member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Secretary,</w:t>
      </w:r>
      <w:r>
        <w:rPr>
          <w:color w:val="6E6158"/>
          <w:spacing w:val="15"/>
        </w:rPr>
        <w:t> </w:t>
      </w:r>
      <w:r>
        <w:rPr>
          <w:color w:val="6E6158"/>
        </w:rPr>
        <w:t>Stillpoint</w:t>
      </w:r>
      <w:r>
        <w:rPr>
          <w:color w:val="6E6158"/>
          <w:spacing w:val="15"/>
        </w:rPr>
        <w:t> </w:t>
      </w:r>
      <w:r>
        <w:rPr>
          <w:color w:val="6E6158"/>
        </w:rPr>
        <w:t>Center</w:t>
      </w:r>
      <w:r>
        <w:rPr>
          <w:color w:val="6E6158"/>
          <w:spacing w:val="14"/>
        </w:rPr>
        <w:t> </w:t>
      </w:r>
      <w:r>
        <w:rPr>
          <w:color w:val="6E6158"/>
        </w:rPr>
        <w:t>for</w:t>
      </w:r>
      <w:r>
        <w:rPr>
          <w:color w:val="6E6158"/>
          <w:spacing w:val="15"/>
        </w:rPr>
        <w:t> </w:t>
      </w:r>
      <w:r>
        <w:rPr>
          <w:color w:val="6E6158"/>
        </w:rPr>
        <w:t>Spiritual</w:t>
      </w:r>
      <w:r>
        <w:rPr>
          <w:color w:val="6E6158"/>
          <w:spacing w:val="15"/>
        </w:rPr>
        <w:t> </w:t>
      </w:r>
      <w:r>
        <w:rPr>
          <w:color w:val="6E6158"/>
        </w:rPr>
        <w:t>Development,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2004–2023</w:t>
      </w:r>
    </w:p>
    <w:p>
      <w:pPr>
        <w:pStyle w:val="BodyText"/>
        <w:spacing w:line="292" w:lineRule="auto"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169964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304pt;width:1.65pt;height:1.65pt;mso-position-horizontal-relative:page;mso-position-vertical-relative:paragraph;z-index:15750656" id="docshape53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Commissioner and Chair, State of Nevada Commission on Common Interest Communities </w:t>
      </w:r>
      <w:r>
        <w:rPr>
          <w:color w:val="6E6158"/>
        </w:rPr>
        <w:t>and Condominium Hotels, 2003-2012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137757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7013pt;width:1.65pt;height:1.65pt;mso-position-horizontal-relative:page;mso-position-vertical-relative:paragraph;z-index:15751168" id="docshape54" coordorigin="1675,217" coordsize="33,33" path="m1696,249l1687,249,1683,248,1676,242,1675,238,1675,229,1676,225,1683,219,1687,217,1696,217,1699,219,1706,225,1707,229,1707,233,1707,238,1706,242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Commissioner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Chair,</w:t>
      </w:r>
      <w:r>
        <w:rPr>
          <w:color w:val="6E6158"/>
          <w:spacing w:val="10"/>
        </w:rPr>
        <w:t> </w:t>
      </w:r>
      <w:r>
        <w:rPr>
          <w:color w:val="6E6158"/>
        </w:rPr>
        <w:t>Las</w:t>
      </w:r>
      <w:r>
        <w:rPr>
          <w:color w:val="6E6158"/>
          <w:spacing w:val="11"/>
        </w:rPr>
        <w:t> </w:t>
      </w:r>
      <w:r>
        <w:rPr>
          <w:color w:val="6E6158"/>
        </w:rPr>
        <w:t>Vegas</w:t>
      </w:r>
      <w:r>
        <w:rPr>
          <w:color w:val="6E6158"/>
          <w:spacing w:val="11"/>
        </w:rPr>
        <w:t> </w:t>
      </w:r>
      <w:r>
        <w:rPr>
          <w:color w:val="6E6158"/>
        </w:rPr>
        <w:t>City</w:t>
      </w:r>
      <w:r>
        <w:rPr>
          <w:color w:val="6E6158"/>
          <w:spacing w:val="10"/>
        </w:rPr>
        <w:t> </w:t>
      </w:r>
      <w:r>
        <w:rPr>
          <w:color w:val="6E6158"/>
        </w:rPr>
        <w:t>Planning</w:t>
      </w:r>
      <w:r>
        <w:rPr>
          <w:color w:val="6E6158"/>
          <w:spacing w:val="11"/>
        </w:rPr>
        <w:t> </w:t>
      </w:r>
      <w:r>
        <w:rPr>
          <w:color w:val="6E6158"/>
        </w:rPr>
        <w:t>Commission,</w:t>
      </w:r>
      <w:r>
        <w:rPr>
          <w:color w:val="6E6158"/>
          <w:spacing w:val="10"/>
        </w:rPr>
        <w:t> </w:t>
      </w:r>
      <w:r>
        <w:rPr>
          <w:color w:val="6E6158"/>
        </w:rPr>
        <w:t>1994–2002,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2009</w:t>
      </w:r>
    </w:p>
    <w:p>
      <w:pPr>
        <w:pStyle w:val="Heading1"/>
        <w:spacing w:before="221"/>
      </w:pPr>
      <w:r>
        <w:rPr>
          <w:color w:val="FF8100"/>
          <w:spacing w:val="-2"/>
        </w:rPr>
        <w:t>ADMISSIONS</w:t>
      </w:r>
    </w:p>
    <w:p>
      <w:pPr>
        <w:pStyle w:val="BodyText"/>
        <w:spacing w:line="420" w:lineRule="auto" w:before="147"/>
        <w:ind w:right="74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152941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2666pt;width:1.65pt;height:1.65pt;mso-position-horizontal-relative:page;mso-position-vertical-relative:paragraph;z-index:15751680" id="docshape55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411307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86417pt;width:1.65pt;height:1.65pt;mso-position-horizontal-relative:page;mso-position-vertical-relative:paragraph;z-index:15752192" id="docshape56" coordorigin="1675,648" coordsize="33,33" path="m1696,680l1687,680,1683,679,1676,672,1675,668,1675,660,1676,656,1683,649,1687,648,1696,648,1699,649,1706,656,1707,660,1707,664,1707,668,1706,672,1699,679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 Nevada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62"/>
      <w:ind w:left="356"/>
      <w:outlineLvl w:val="2"/>
    </w:pPr>
    <w:rPr>
      <w:rFonts w:ascii="Century Gothic" w:hAnsi="Century Gothic" w:eastAsia="Century Gothic" w:cs="Century Gothic"/>
      <w:i/>
      <w:i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57"/>
      <w:ind w:left="104"/>
    </w:pPr>
    <w:rPr>
      <w:rFonts w:ascii="Century Gothic" w:hAnsi="Century Gothic" w:eastAsia="Century Gothic" w:cs="Century Gothic"/>
      <w:b/>
      <w:bCs/>
      <w:sz w:val="39"/>
      <w:szCs w:val="3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real-estate/" TargetMode="External"/><Relationship Id="rId9" Type="http://schemas.openxmlformats.org/officeDocument/2006/relationships/hyperlink" Target="https://www.fennemorelaw.com/contact-us/las-vegas/" TargetMode="External"/><Relationship Id="rId10" Type="http://schemas.openxmlformats.org/officeDocument/2006/relationships/hyperlink" Target="mailto:mbuckley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2024-12-04T08:58:02Z</dcterms:created>
  <dcterms:modified xsi:type="dcterms:W3CDTF">2024-12-04T08:58:02Z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LastSaved">
    <vt:filetime>2024-12-04T00:00:00Z</vt:filetime>
  </property>
  <property fmtid="{D5CDD505-2E9C-101B-9397-08002B2CF9AE}" pid="4" name="Producer">
    <vt:lpwstr>ConvertAPI</vt:lpwstr>
  </property>
</Properties>
</file>