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80943" y="1369338"/>
                            <a:ext cx="193802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8020" h="320675">
                                <a:moveTo>
                                  <a:pt x="1937740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37740" y="320382"/>
                                </a:lnTo>
                                <a:lnTo>
                                  <a:pt x="1937740" y="315214"/>
                                </a:lnTo>
                                <a:close/>
                              </a:path>
                              <a:path w="1938020" h="320675">
                                <a:moveTo>
                                  <a:pt x="19377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37740" y="5168"/>
                                </a:lnTo>
                                <a:lnTo>
                                  <a:pt x="1937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78848" y="763308"/>
                            <a:ext cx="1955164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MINNA C. 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39"/>
                                </w:rPr>
                                <w:t>YANG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239537" y="1859626"/>
                            <a:ext cx="6337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Sacramento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848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916.920.5286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499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916.920.5286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30916" y="2226505"/>
                            <a:ext cx="1450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myang@fennemorelaw.com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8640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6980;top:2716;width:3052;height:505" id="docshape5" coordorigin="6980,2716" coordsize="3052,505" path="m10032,3213l6980,3213,6980,3221,10032,3221,10032,3213xm10032,2716l6980,2716,6980,2725,10032,2725,10032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77;top:1762;width:3079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MINNA C. </w:t>
                        </w:r>
                        <w:r>
                          <w:rPr>
                            <w:color w:val="FFFFFF"/>
                            <w:spacing w:val="-14"/>
                            <w:sz w:val="39"/>
                          </w:rPr>
                          <w:t>YANG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017;top:3488;width:998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Sacramento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7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916.920.5286</w:t>
                        </w:r>
                      </w:p>
                    </w:txbxContent>
                  </v:textbox>
                  <w10:wrap type="none"/>
                </v:shape>
                <v:shape style="position:absolute;left:8816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916.920.5286</w:t>
                        </w:r>
                      </w:p>
                    </w:txbxContent>
                  </v:textbox>
                  <w10:wrap type="none"/>
                </v:shape>
                <v:shape style="position:absolute;left:7374;top:4066;width:2285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myang@fennemorelaw.com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4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MINNA</w:t>
      </w:r>
      <w:r>
        <w:rPr>
          <w:color w:val="FF8100"/>
          <w:spacing w:val="6"/>
        </w:rPr>
        <w:t> </w:t>
      </w:r>
      <w:r>
        <w:rPr>
          <w:color w:val="FF8100"/>
        </w:rPr>
        <w:t>C.</w:t>
      </w:r>
      <w:r>
        <w:rPr>
          <w:color w:val="FF8100"/>
          <w:spacing w:val="6"/>
        </w:rPr>
        <w:t> </w:t>
      </w:r>
      <w:r>
        <w:rPr>
          <w:color w:val="FF8100"/>
          <w:spacing w:val="-4"/>
        </w:rPr>
        <w:t>YANG</w:t>
      </w:r>
    </w:p>
    <w:p>
      <w:pPr>
        <w:pStyle w:val="BodyText"/>
        <w:spacing w:line="302" w:lineRule="auto" w:before="147"/>
        <w:ind w:left="104" w:right="388"/>
      </w:pPr>
      <w:r>
        <w:rPr>
          <w:color w:val="6E6158"/>
        </w:rPr>
        <w:t>Minna C. Yang is a Director in the Sacramento Office working in Fennemore’s tax practice group.</w:t>
      </w:r>
      <w:r>
        <w:rPr>
          <w:color w:val="6E6158"/>
          <w:spacing w:val="40"/>
        </w:rPr>
        <w:t>  </w:t>
      </w:r>
      <w:r>
        <w:rPr>
          <w:color w:val="6E6158"/>
        </w:rPr>
        <w:t>With</w:t>
      </w:r>
      <w:r>
        <w:rPr>
          <w:color w:val="6E6158"/>
          <w:spacing w:val="14"/>
        </w:rPr>
        <w:t> </w:t>
      </w:r>
      <w:r>
        <w:rPr>
          <w:color w:val="6E6158"/>
        </w:rPr>
        <w:t>over</w:t>
      </w:r>
      <w:r>
        <w:rPr>
          <w:color w:val="6E6158"/>
          <w:spacing w:val="14"/>
        </w:rPr>
        <w:t> </w:t>
      </w:r>
      <w:r>
        <w:rPr>
          <w:color w:val="6E6158"/>
        </w:rPr>
        <w:t>30</w:t>
      </w:r>
      <w:r>
        <w:rPr>
          <w:color w:val="6E6158"/>
          <w:spacing w:val="14"/>
        </w:rPr>
        <w:t> </w:t>
      </w:r>
      <w:r>
        <w:rPr>
          <w:color w:val="6E6158"/>
        </w:rPr>
        <w:t>years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experience</w:t>
      </w:r>
      <w:r>
        <w:rPr>
          <w:color w:val="6E6158"/>
          <w:spacing w:val="14"/>
        </w:rPr>
        <w:t> </w:t>
      </w:r>
      <w:r>
        <w:rPr>
          <w:color w:val="6E6158"/>
        </w:rPr>
        <w:t>as</w:t>
      </w:r>
      <w:r>
        <w:rPr>
          <w:color w:val="6E6158"/>
          <w:spacing w:val="14"/>
        </w:rPr>
        <w:t> </w:t>
      </w:r>
      <w:r>
        <w:rPr>
          <w:color w:val="6E6158"/>
        </w:rPr>
        <w:t>a</w:t>
      </w:r>
      <w:r>
        <w:rPr>
          <w:color w:val="6E6158"/>
          <w:spacing w:val="14"/>
        </w:rPr>
        <w:t> </w:t>
      </w:r>
      <w:r>
        <w:rPr>
          <w:color w:val="6E6158"/>
        </w:rPr>
        <w:t>CPA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attorney,</w:t>
      </w:r>
      <w:r>
        <w:rPr>
          <w:color w:val="6E6158"/>
          <w:spacing w:val="14"/>
        </w:rPr>
        <w:t> </w:t>
      </w:r>
      <w:r>
        <w:rPr>
          <w:color w:val="6E6158"/>
        </w:rPr>
        <w:t>Minna</w:t>
      </w:r>
      <w:r>
        <w:rPr>
          <w:color w:val="6E6158"/>
          <w:spacing w:val="14"/>
        </w:rPr>
        <w:t> </w:t>
      </w:r>
      <w:r>
        <w:rPr>
          <w:color w:val="6E6158"/>
        </w:rPr>
        <w:t>is</w:t>
      </w:r>
      <w:r>
        <w:rPr>
          <w:color w:val="6E6158"/>
          <w:spacing w:val="14"/>
        </w:rPr>
        <w:t> </w:t>
      </w:r>
      <w:r>
        <w:rPr>
          <w:color w:val="6E6158"/>
        </w:rPr>
        <w:t>experienced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</w:p>
    <w:p>
      <w:pPr>
        <w:pStyle w:val="BodyText"/>
        <w:spacing w:line="224" w:lineRule="exact"/>
        <w:ind w:left="104"/>
      </w:pPr>
      <w:r>
        <w:rPr>
          <w:color w:val="6E6158"/>
        </w:rPr>
        <w:t>federal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state</w:t>
      </w:r>
      <w:r>
        <w:rPr>
          <w:color w:val="6E6158"/>
          <w:spacing w:val="12"/>
        </w:rPr>
        <w:t> </w:t>
      </w:r>
      <w:r>
        <w:rPr>
          <w:color w:val="6E6158"/>
        </w:rPr>
        <w:t>income</w:t>
      </w:r>
      <w:r>
        <w:rPr>
          <w:color w:val="6E6158"/>
          <w:spacing w:val="11"/>
        </w:rPr>
        <w:t> </w:t>
      </w:r>
      <w:r>
        <w:rPr>
          <w:color w:val="6E6158"/>
        </w:rPr>
        <w:t>tax</w:t>
      </w:r>
      <w:r>
        <w:rPr>
          <w:color w:val="6E6158"/>
          <w:spacing w:val="12"/>
        </w:rPr>
        <w:t> </w:t>
      </w:r>
      <w:r>
        <w:rPr>
          <w:color w:val="6E6158"/>
        </w:rPr>
        <w:t>planning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business,</w:t>
      </w:r>
      <w:r>
        <w:rPr>
          <w:color w:val="6E6158"/>
          <w:spacing w:val="11"/>
        </w:rPr>
        <w:t> </w:t>
      </w:r>
      <w:r>
        <w:rPr>
          <w:color w:val="6E6158"/>
        </w:rPr>
        <w:t>real</w:t>
      </w:r>
      <w:r>
        <w:rPr>
          <w:color w:val="6E6158"/>
          <w:spacing w:val="12"/>
        </w:rPr>
        <w:t> </w: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estate</w:t>
      </w:r>
      <w:r>
        <w:rPr>
          <w:color w:val="6E6158"/>
          <w:spacing w:val="11"/>
        </w:rPr>
        <w:t> </w:t>
      </w:r>
      <w:r>
        <w:rPr>
          <w:color w:val="6E6158"/>
        </w:rPr>
        <w:t>planning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transactions.</w:t>
      </w:r>
    </w:p>
    <w:p>
      <w:pPr>
        <w:pStyle w:val="BodyText"/>
        <w:spacing w:before="52"/>
        <w:ind w:left="104"/>
      </w:pPr>
      <w:r>
        <w:rPr>
          <w:color w:val="6E6158"/>
        </w:rPr>
        <w:t>Minna</w:t>
      </w:r>
      <w:r>
        <w:rPr>
          <w:color w:val="6E6158"/>
          <w:spacing w:val="12"/>
        </w:rPr>
        <w:t> </w:t>
      </w:r>
      <w:r>
        <w:rPr>
          <w:color w:val="6E6158"/>
        </w:rPr>
        <w:t>is</w:t>
      </w:r>
      <w:r>
        <w:rPr>
          <w:color w:val="6E6158"/>
          <w:spacing w:val="12"/>
        </w:rPr>
        <w:t> </w:t>
      </w:r>
      <w:r>
        <w:rPr>
          <w:color w:val="6E6158"/>
        </w:rPr>
        <w:t>known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her</w:t>
      </w:r>
      <w:r>
        <w:rPr>
          <w:color w:val="6E6158"/>
          <w:spacing w:val="13"/>
        </w:rPr>
        <w:t> </w:t>
      </w:r>
      <w:r>
        <w:rPr>
          <w:color w:val="6E6158"/>
        </w:rPr>
        <w:t>efficiency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timely</w:t>
      </w:r>
      <w:r>
        <w:rPr>
          <w:color w:val="6E6158"/>
          <w:spacing w:val="13"/>
        </w:rPr>
        <w:t> </w:t>
      </w:r>
      <w:r>
        <w:rPr>
          <w:color w:val="6E6158"/>
        </w:rPr>
        <w:t>execution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complex</w:t>
      </w:r>
      <w:r>
        <w:rPr>
          <w:color w:val="6E6158"/>
          <w:spacing w:val="12"/>
        </w:rPr>
        <w:t> </w:t>
      </w:r>
      <w:r>
        <w:rPr>
          <w:color w:val="6E6158"/>
        </w:rPr>
        <w:t>business</w:t>
      </w:r>
      <w:r>
        <w:rPr>
          <w:color w:val="6E6158"/>
          <w:spacing w:val="13"/>
        </w:rPr>
        <w:t> </w:t>
      </w:r>
      <w:r>
        <w:rPr>
          <w:color w:val="6E6158"/>
        </w:rPr>
        <w:t>transactions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line="292" w:lineRule="auto" w:before="60"/>
        <w:ind w:left="104"/>
      </w:pPr>
      <w:r>
        <w:rPr>
          <w:color w:val="6E6158"/>
        </w:rPr>
        <w:t>restructuring. Working often with multi-generation enterprises, she ensures that client projects </w:t>
      </w:r>
      <w:r>
        <w:rPr>
          <w:color w:val="6E6158"/>
        </w:rPr>
        <w:t>are</w:t>
      </w:r>
      <w:r>
        <w:rPr>
          <w:color w:val="6E6158"/>
          <w:spacing w:val="40"/>
        </w:rPr>
        <w:t> </w:t>
      </w:r>
      <w:r>
        <w:rPr>
          <w:color w:val="6E6158"/>
        </w:rPr>
        <w:t>completed</w:t>
      </w:r>
      <w:r>
        <w:rPr>
          <w:color w:val="6E6158"/>
          <w:spacing w:val="35"/>
        </w:rPr>
        <w:t> </w:t>
      </w:r>
      <w:r>
        <w:rPr>
          <w:color w:val="6E6158"/>
        </w:rPr>
        <w:t>within</w:t>
      </w:r>
      <w:r>
        <w:rPr>
          <w:color w:val="6E6158"/>
          <w:spacing w:val="35"/>
        </w:rPr>
        <w:t> </w:t>
      </w:r>
      <w:r>
        <w:rPr>
          <w:color w:val="6E6158"/>
        </w:rPr>
        <w:t>critical</w:t>
      </w:r>
      <w:r>
        <w:rPr>
          <w:color w:val="6E6158"/>
          <w:spacing w:val="35"/>
        </w:rPr>
        <w:t> </w:t>
      </w:r>
      <w:r>
        <w:rPr>
          <w:color w:val="6E6158"/>
        </w:rPr>
        <w:t>deadlines</w:t>
      </w:r>
      <w:r>
        <w:rPr>
          <w:color w:val="6E6158"/>
          <w:spacing w:val="35"/>
        </w:rPr>
        <w:t> </w:t>
      </w:r>
      <w:r>
        <w:rPr>
          <w:color w:val="6E6158"/>
        </w:rPr>
        <w:t>thus</w:t>
      </w:r>
      <w:r>
        <w:rPr>
          <w:color w:val="6E6158"/>
          <w:spacing w:val="35"/>
        </w:rPr>
        <w:t> </w:t>
      </w:r>
      <w:r>
        <w:rPr>
          <w:color w:val="6E6158"/>
        </w:rPr>
        <w:t>adding</w:t>
      </w:r>
      <w:r>
        <w:rPr>
          <w:color w:val="6E6158"/>
          <w:spacing w:val="35"/>
        </w:rPr>
        <w:t> </w:t>
      </w:r>
      <w:r>
        <w:rPr>
          <w:color w:val="6E6158"/>
        </w:rPr>
        <w:t>significant</w:t>
      </w:r>
      <w:r>
        <w:rPr>
          <w:color w:val="6E6158"/>
          <w:spacing w:val="35"/>
        </w:rPr>
        <w:t> </w:t>
      </w:r>
      <w:r>
        <w:rPr>
          <w:color w:val="6E6158"/>
        </w:rPr>
        <w:t>value</w:t>
      </w:r>
      <w:r>
        <w:rPr>
          <w:color w:val="6E6158"/>
          <w:spacing w:val="35"/>
        </w:rPr>
        <w:t> </w:t>
      </w:r>
      <w:r>
        <w:rPr>
          <w:color w:val="6E6158"/>
        </w:rPr>
        <w:t>to</w:t>
      </w:r>
      <w:r>
        <w:rPr>
          <w:color w:val="6E6158"/>
          <w:spacing w:val="35"/>
        </w:rPr>
        <w:t> </w:t>
      </w:r>
      <w:r>
        <w:rPr>
          <w:color w:val="6E6158"/>
        </w:rPr>
        <w:t>their</w:t>
      </w:r>
      <w:r>
        <w:rPr>
          <w:color w:val="6E6158"/>
          <w:spacing w:val="35"/>
        </w:rPr>
        <w:t> </w:t>
      </w:r>
      <w:r>
        <w:rPr>
          <w:color w:val="6E6158"/>
        </w:rPr>
        <w:t>business</w:t>
      </w:r>
      <w:r>
        <w:rPr>
          <w:color w:val="6E6158"/>
          <w:spacing w:val="35"/>
        </w:rPr>
        <w:t> </w:t>
      </w:r>
      <w:r>
        <w:rPr>
          <w:color w:val="6E6158"/>
        </w:rPr>
        <w:t>operations.</w:t>
      </w:r>
    </w:p>
    <w:p>
      <w:pPr>
        <w:pStyle w:val="BodyText"/>
        <w:spacing w:line="292" w:lineRule="auto" w:before="1"/>
        <w:ind w:left="104" w:right="397"/>
      </w:pPr>
      <w:r>
        <w:rPr>
          <w:color w:val="6E6158"/>
        </w:rPr>
        <w:t>Areas of specific knowledge include Like-Kind Exchanges, Qualified Opportunity Zone </w:t>
      </w:r>
      <w:r>
        <w:rPr>
          <w:color w:val="6E6158"/>
        </w:rPr>
        <w:t>Funds,</w:t>
      </w:r>
      <w:r>
        <w:rPr>
          <w:color w:val="6E6158"/>
          <w:spacing w:val="40"/>
        </w:rPr>
        <w:t> </w:t>
      </w:r>
      <w:r>
        <w:rPr>
          <w:color w:val="6E6158"/>
        </w:rPr>
        <w:t>and Pass-Through Entity Taxation.</w:t>
      </w:r>
    </w:p>
    <w:p>
      <w:pPr>
        <w:pStyle w:val="BodyText"/>
        <w:spacing w:line="292" w:lineRule="auto" w:before="205"/>
        <w:ind w:left="104" w:right="397"/>
      </w:pPr>
      <w:r>
        <w:rPr>
          <w:color w:val="6E6158"/>
        </w:rPr>
        <w:t>Minna enjoys working with families and business owners to accomplish their succession </w:t>
      </w:r>
      <w:r>
        <w:rPr>
          <w:color w:val="6E6158"/>
        </w:rPr>
        <w:t>planning</w:t>
      </w:r>
      <w:r>
        <w:rPr>
          <w:color w:val="6E6158"/>
          <w:spacing w:val="40"/>
        </w:rPr>
        <w:t> </w:t>
      </w:r>
      <w:r>
        <w:rPr>
          <w:color w:val="6E6158"/>
        </w:rPr>
        <w:t>objectives in a tax-efficient manner.</w:t>
      </w:r>
    </w:p>
    <w:p>
      <w:pPr>
        <w:pStyle w:val="BodyText"/>
        <w:spacing w:line="292" w:lineRule="auto" w:before="196"/>
        <w:ind w:left="104"/>
      </w:pPr>
      <w:r>
        <w:rPr>
          <w:color w:val="6E6158"/>
        </w:rPr>
        <w:t>When not working Minna enjoys spending time with family over delicious food and attending </w:t>
      </w:r>
      <w:r>
        <w:rPr>
          <w:color w:val="6E6158"/>
        </w:rPr>
        <w:t>live</w:t>
      </w:r>
      <w:r>
        <w:rPr>
          <w:color w:val="6E6158"/>
          <w:spacing w:val="40"/>
        </w:rPr>
        <w:t> </w:t>
      </w:r>
      <w:r>
        <w:rPr>
          <w:color w:val="6E6158"/>
        </w:rPr>
        <w:t>performances of music and theater.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152626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7815pt;width:1.65pt;height:1.65pt;mso-position-horizontal-relative:page;mso-position-vertical-relative:paragraph;z-index:15729152" id="docshape1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Lincoln</w:t>
      </w:r>
      <w:r>
        <w:rPr>
          <w:color w:val="6E6158"/>
          <w:spacing w:val="10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School</w:t>
      </w:r>
    </w:p>
    <w:p>
      <w:pPr>
        <w:pStyle w:val="BodyText"/>
        <w:spacing w:line="420" w:lineRule="auto" w:before="174"/>
        <w:ind w:left="356" w:right="37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169720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3858pt;width:1.65pt;height:1.65pt;mso-position-horizontal-relative:page;mso-position-vertical-relative:paragraph;z-index:15729664" id="docshape12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428086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07607pt;width:1.65pt;height:1.65pt;mso-position-horizontal-relative:page;mso-position-vertical-relative:paragraph;z-index:15730176" id="docshape13" coordorigin="1675,674" coordsize="33,33" path="m1696,707l1687,707,1683,705,1676,699,1675,695,1675,686,1676,682,1683,676,1687,674,1696,674,1699,676,1706,682,1707,686,1707,690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M.S., Taxation, Golden Gate University, San </w:t>
      </w:r>
      <w:r>
        <w:rPr>
          <w:color w:val="6E6158"/>
        </w:rPr>
        <w:t>Francisco</w:t>
      </w:r>
      <w:r>
        <w:rPr>
          <w:color w:val="6E6158"/>
        </w:rPr>
        <w:t> B.S., California State University, Sacramento</w:t>
      </w:r>
    </w:p>
    <w:p>
      <w:pPr>
        <w:pStyle w:val="Heading1"/>
        <w:spacing w:before="167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left="356" w:right="65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152871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123pt;width:1.65pt;height:1.65pt;mso-position-horizontal-relative:page;mso-position-vertical-relative:paragraph;z-index:15730688" id="docshape14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411237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0871pt;width:1.65pt;height:1.65pt;mso-position-horizontal-relative:page;mso-position-vertical-relative:paragraph;z-index:15731200" id="docshape15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669602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724621pt;width:1.65pt;height:1.65pt;mso-position-horizontal-relative:page;mso-position-vertical-relative:paragraph;z-index:15731712" id="docshape16" coordorigin="1675,1054" coordsize="33,33" path="m1696,1087l1687,1087,1683,1085,1676,1079,1675,1075,1675,1066,1676,1062,1683,1056,1687,1054,1696,1054,1699,1056,1706,1062,1707,1066,1707,1071,1707,1075,1706,1079,1699,1085,1696,10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Finance Mergers &amp; </w:t>
      </w:r>
      <w:r>
        <w:rPr>
          <w:color w:val="6E6158"/>
        </w:rPr>
        <w:t>Acquisitions Real Estate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58012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67918pt;width:1.65pt;height:1.65pt;mso-position-horizontal-relative:page;mso-position-vertical-relative:paragraph;z-index:15732224" id="docshape17" coordorigin="1675,91" coordsize="33,33" path="m1696,124l1687,124,1683,122,1676,116,1675,112,1675,103,1676,99,1683,93,1687,91,1696,91,1699,93,1706,99,1707,103,1707,108,1707,112,1706,116,1699,122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</w:t>
      </w:r>
      <w:r>
        <w:rPr>
          <w:color w:val="6E6158"/>
          <w:spacing w:val="-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0" w:lineRule="auto" w:before="182"/>
        <w:ind w:left="356"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175133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0031pt;width:1.65pt;height:1.65pt;mso-position-horizontal-relative:page;mso-position-vertical-relative:paragraph;z-index:15732736" id="docshape18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433499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3781pt;width:1.65pt;height:1.65pt;mso-position-horizontal-relative:page;mso-position-vertical-relative:paragraph;z-index:15733248" id="docshape19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  <w:spacing w:before="16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152481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642pt;width:1.65pt;height:1.65pt;mso-position-horizontal-relative:page;mso-position-vertical-relative:paragraph;z-index:15733760" id="docshape20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10"/>
        </w:rPr>
        <w:t> </w:t>
      </w:r>
      <w:r>
        <w:rPr>
          <w:color w:val="6E6158"/>
        </w:rPr>
        <w:t>“Corporate</w:t>
      </w:r>
      <w:r>
        <w:rPr>
          <w:color w:val="6E6158"/>
          <w:spacing w:val="11"/>
        </w:rPr>
        <w:t> </w:t>
      </w:r>
      <w:r>
        <w:rPr>
          <w:color w:val="6E6158"/>
        </w:rPr>
        <w:t>Transparency</w:t>
      </w:r>
      <w:r>
        <w:rPr>
          <w:color w:val="6E6158"/>
          <w:spacing w:val="11"/>
        </w:rPr>
        <w:t> </w:t>
      </w:r>
      <w:r>
        <w:rPr>
          <w:color w:val="6E6158"/>
        </w:rPr>
        <w:t>Act,”</w:t>
      </w:r>
      <w:r>
        <w:rPr>
          <w:color w:val="6E6158"/>
          <w:spacing w:val="11"/>
        </w:rPr>
        <w:t> </w:t>
      </w:r>
      <w:r>
        <w:rPr>
          <w:color w:val="6E6158"/>
        </w:rPr>
        <w:t>Firm</w:t>
      </w:r>
      <w:r>
        <w:rPr>
          <w:color w:val="6E6158"/>
          <w:spacing w:val="11"/>
        </w:rPr>
        <w:t> </w:t>
      </w:r>
      <w:r>
        <w:rPr>
          <w:color w:val="6E6158"/>
        </w:rPr>
        <w:t>Newsletter,</w:t>
      </w:r>
      <w:r>
        <w:rPr>
          <w:color w:val="6E6158"/>
          <w:spacing w:val="11"/>
        </w:rPr>
        <w:t> </w:t>
      </w:r>
      <w:r>
        <w:rPr>
          <w:color w:val="6E6158"/>
        </w:rPr>
        <w:t>January</w:t>
      </w:r>
      <w:r>
        <w:rPr>
          <w:color w:val="6E6158"/>
          <w:spacing w:val="11"/>
        </w:rPr>
        <w:t> </w:t>
      </w:r>
      <w:r>
        <w:rPr>
          <w:color w:val="6E6158"/>
        </w:rPr>
        <w:t>19,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356"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4272" id="docshape21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“Musings on Implications of the Repeal of the Technical Termination Provisions Under IRC 708 for 1031 Exchanges,” Firm Newsletter, June 17, 2019</w:t>
      </w:r>
    </w:p>
    <w:p>
      <w:pPr>
        <w:pStyle w:val="BodyText"/>
        <w:spacing w:line="420" w:lineRule="auto" w:before="13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82pt;width:1.65pt;height:1.65pt;mso-position-horizontal-relative:page;mso-position-vertical-relative:paragraph;z-index:15734784" id="docshape22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401545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17731pt;width:1.65pt;height:1.65pt;mso-position-horizontal-relative:page;mso-position-vertical-relative:paragraph;z-index:15735296" id="docshape23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“Partnership Allocation Rules – Impact of Recent Regulations,” November 15, </w:t>
      </w:r>
      <w:r>
        <w:rPr>
          <w:color w:val="6E6158"/>
        </w:rPr>
        <w:t>2017 Presenter, Honey, I Forgot About the Income Tax!” Firm Presentation, February 25, 2016</w:t>
      </w:r>
    </w:p>
    <w:p>
      <w:pPr>
        <w:pStyle w:val="Heading1"/>
        <w:spacing w:before="37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left="356" w:right="27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152873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247pt;width:1.65pt;height:1.65pt;mso-position-horizontal-relative:page;mso-position-vertical-relative:paragraph;z-index:15735808" id="docshape24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411238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0997pt;width:1.65pt;height:1.65pt;mso-position-horizontal-relative:page;mso-position-vertical-relative:paragraph;z-index:15736320" id="docshape25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California Society of Certified Public Accountants Member,</w:t>
      </w:r>
      <w:r>
        <w:rPr>
          <w:color w:val="6E6158"/>
          <w:spacing w:val="10"/>
        </w:rPr>
        <w:t> </w:t>
      </w:r>
      <w:r>
        <w:rPr>
          <w:color w:val="6E6158"/>
        </w:rPr>
        <w:t>American</w:t>
      </w:r>
      <w:r>
        <w:rPr>
          <w:color w:val="6E6158"/>
          <w:spacing w:val="11"/>
        </w:rPr>
        <w:t> </w:t>
      </w:r>
      <w:r>
        <w:rPr>
          <w:color w:val="6E6158"/>
        </w:rPr>
        <w:t>Institute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Certified</w:t>
      </w:r>
      <w:r>
        <w:rPr>
          <w:color w:val="6E6158"/>
          <w:spacing w:val="10"/>
        </w:rPr>
        <w:t> </w:t>
      </w:r>
      <w:r>
        <w:rPr>
          <w:color w:val="6E6158"/>
        </w:rPr>
        <w:t>Public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Accountants</w:t>
      </w:r>
    </w:p>
    <w:p>
      <w:pPr>
        <w:pStyle w:val="BodyText"/>
        <w:spacing w:line="420" w:lineRule="auto" w:before="7"/>
        <w:ind w:left="356" w:right="15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63686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4652pt;width:1.65pt;height:1.65pt;mso-position-horizontal-relative:page;mso-position-vertical-relative:paragraph;z-index:15736832" id="docshape26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322051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8402pt;width:1.65pt;height:1.65pt;mso-position-horizontal-relative:page;mso-position-vertical-relative:paragraph;z-index:15737344" id="docshape27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Tax and Business Sections, Sacramento County Bar </w:t>
      </w:r>
      <w:r>
        <w:rPr>
          <w:color w:val="6E6158"/>
        </w:rPr>
        <w:t>Association Member, Tax Section, State Bar of California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58231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85183pt;width:1.65pt;height:1.65pt;mso-position-horizontal-relative:page;mso-position-vertical-relative:paragraph;z-index:15737856" id="docshape28" coordorigin="1675,92" coordsize="33,33" path="m1696,124l1687,124,1683,123,1676,116,1675,112,1675,103,1676,100,1683,93,1687,92,1696,92,1699,93,1706,100,1707,103,1707,108,1707,112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Adjunct</w:t>
      </w:r>
      <w:r>
        <w:rPr>
          <w:color w:val="6E6158"/>
          <w:spacing w:val="11"/>
        </w:rPr>
        <w:t> </w:t>
      </w:r>
      <w:r>
        <w:rPr>
          <w:color w:val="6E6158"/>
        </w:rPr>
        <w:t>Instructor,</w:t>
      </w:r>
      <w:r>
        <w:rPr>
          <w:color w:val="6E6158"/>
          <w:spacing w:val="11"/>
        </w:rPr>
        <w:t> </w:t>
      </w:r>
      <w:r>
        <w:rPr>
          <w:color w:val="6E6158"/>
        </w:rPr>
        <w:t>Golden</w:t>
      </w:r>
      <w:r>
        <w:rPr>
          <w:color w:val="6E6158"/>
          <w:spacing w:val="10"/>
        </w:rPr>
        <w:t> </w:t>
      </w:r>
      <w:r>
        <w:rPr>
          <w:color w:val="6E6158"/>
        </w:rPr>
        <w:t>Gate</w:t>
      </w:r>
      <w:r>
        <w:rPr>
          <w:color w:val="6E6158"/>
          <w:spacing w:val="11"/>
        </w:rPr>
        <w:t> </w:t>
      </w:r>
      <w:r>
        <w:rPr>
          <w:color w:val="6E6158"/>
        </w:rPr>
        <w:t>University,</w:t>
      </w:r>
      <w:r>
        <w:rPr>
          <w:color w:val="6E6158"/>
          <w:spacing w:val="11"/>
        </w:rPr>
        <w:t> </w:t>
      </w:r>
      <w:r>
        <w:rPr>
          <w:color w:val="6E6158"/>
        </w:rPr>
        <w:t>2003-</w:t>
      </w:r>
      <w:r>
        <w:rPr>
          <w:color w:val="6E6158"/>
          <w:spacing w:val="-4"/>
        </w:rPr>
        <w:t>2005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5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158121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50538pt;width:1.65pt;height:1.65pt;mso-position-horizontal-relative:page;mso-position-vertical-relative:paragraph;z-index:15738368" id="docshape29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170136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6582pt;width:1.65pt;height:1.65pt;mso-position-horizontal-relative:page;mso-position-vertical-relative:paragraph;z-index:15738880" id="docshape30" coordorigin="1675,268" coordsize="33,33" path="m1696,300l1687,300,1683,299,1676,293,1675,289,1675,280,1676,276,1683,270,1687,268,1696,268,1699,270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"/>
        </w:rPr>
        <w:t> </w:t>
      </w:r>
      <w:r>
        <w:rPr>
          <w:color w:val="6E6158"/>
        </w:rPr>
        <w:t>Tax</w:t>
      </w:r>
      <w:r>
        <w:rPr>
          <w:color w:val="6E6158"/>
          <w:spacing w:val="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170086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2626pt;width:1.65pt;height:1.65pt;mso-position-horizontal-relative:page;mso-position-vertical-relative:paragraph;z-index:15739392" id="docshape31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Certified</w:t>
      </w:r>
      <w:r>
        <w:rPr>
          <w:color w:val="6E6158"/>
          <w:spacing w:val="14"/>
        </w:rPr>
        <w:t> </w:t>
      </w:r>
      <w:r>
        <w:rPr>
          <w:color w:val="6E6158"/>
        </w:rPr>
        <w:t>Public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Accountant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sacramento/" TargetMode="External"/><Relationship Id="rId10" Type="http://schemas.openxmlformats.org/officeDocument/2006/relationships/hyperlink" Target="mailto:myang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2024-12-04T08:29:04Z</dcterms:created>
  <dcterms:modified xsi:type="dcterms:W3CDTF">2024-12-04T08:29:04Z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