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14" w:right="61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MIRANDA FREEMAN</w:t>
                              </w:r>
                            </w:p>
                            <w:p>
                              <w:pPr>
                                <w:spacing w:before="48"/>
                                <w:ind w:left="614" w:right="61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614" w:right="6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14" w:right="6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2117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before="119"/>
                                <w:ind w:left="614" w:right="6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mfreeman@fennemorelaw.com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14" w:right="61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MIRANDA FREEMAN</w:t>
                        </w:r>
                      </w:p>
                      <w:p>
                        <w:pPr>
                          <w:spacing w:before="48"/>
                          <w:ind w:left="614" w:right="61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614" w:right="61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14" w:right="61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2117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before="119"/>
                          <w:ind w:left="614" w:right="61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mfreeman@fennemorelaw.com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MIRANDA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FREEMAN</w:t>
      </w:r>
    </w:p>
    <w:p>
      <w:pPr>
        <w:pStyle w:val="BodyText"/>
        <w:spacing w:line="302" w:lineRule="auto"/>
        <w:ind w:right="543"/>
      </w:pPr>
      <w:r>
        <w:rPr>
          <w:color w:val="6E6158"/>
        </w:rPr>
        <w:t>Miranda Freeman, an associate attorney, practices taxation, estate planning, and 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administration.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stands</w:t>
      </w:r>
      <w:r>
        <w:rPr>
          <w:color w:val="6E6158"/>
          <w:spacing w:val="17"/>
        </w:rPr>
        <w:t> </w:t>
      </w:r>
      <w:r>
        <w:rPr>
          <w:color w:val="6E6158"/>
        </w:rPr>
        <w:t>out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her</w:t>
      </w:r>
      <w:r>
        <w:rPr>
          <w:color w:val="6E6158"/>
          <w:spacing w:val="17"/>
        </w:rPr>
        <w:t> </w:t>
      </w:r>
      <w:r>
        <w:rPr>
          <w:color w:val="6E6158"/>
        </w:rPr>
        <w:t>adeptness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advanced</w:t>
      </w:r>
      <w:r>
        <w:rPr>
          <w:color w:val="6E6158"/>
          <w:spacing w:val="17"/>
        </w:rPr>
        <w:t> </w:t>
      </w:r>
      <w:r>
        <w:rPr>
          <w:color w:val="6E6158"/>
        </w:rPr>
        <w:t>tax</w:t>
      </w:r>
      <w:r>
        <w:rPr>
          <w:color w:val="6E6158"/>
          <w:spacing w:val="17"/>
        </w:rPr>
        <w:t> </w:t>
      </w:r>
      <w:r>
        <w:rPr>
          <w:color w:val="6E6158"/>
        </w:rPr>
        <w:t>minimization</w:t>
      </w:r>
      <w:r>
        <w:rPr>
          <w:color w:val="6E6158"/>
          <w:spacing w:val="17"/>
        </w:rPr>
        <w:t> </w:t>
      </w:r>
      <w:r>
        <w:rPr>
          <w:color w:val="6E6158"/>
        </w:rPr>
        <w:t>strategies,</w:t>
      </w:r>
    </w:p>
    <w:p>
      <w:pPr>
        <w:pStyle w:val="BodyText"/>
        <w:spacing w:line="292" w:lineRule="auto" w:before="0"/>
        <w:ind w:right="543"/>
      </w:pPr>
      <w:r>
        <w:rPr>
          <w:color w:val="6E6158"/>
        </w:rPr>
        <w:t>integrating these techniques into her estate planning practices to efficiently reduce tax </w:t>
      </w:r>
      <w:r>
        <w:rPr>
          <w:color w:val="6E6158"/>
        </w:rPr>
        <w:t>liabilities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clients.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expertise</w:t>
      </w:r>
      <w:r>
        <w:rPr>
          <w:color w:val="6E6158"/>
          <w:spacing w:val="27"/>
        </w:rPr>
        <w:t> </w:t>
      </w:r>
      <w:r>
        <w:rPr>
          <w:color w:val="6E6158"/>
        </w:rPr>
        <w:t>ensures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clients’</w:t>
      </w:r>
      <w:r>
        <w:rPr>
          <w:color w:val="6E6158"/>
          <w:spacing w:val="27"/>
        </w:rPr>
        <w:t> </w:t>
      </w:r>
      <w:r>
        <w:rPr>
          <w:color w:val="6E6158"/>
        </w:rPr>
        <w:t>wealth</w:t>
      </w:r>
      <w:r>
        <w:rPr>
          <w:color w:val="6E6158"/>
          <w:spacing w:val="27"/>
        </w:rPr>
        <w:t> </w:t>
      </w:r>
      <w:r>
        <w:rPr>
          <w:color w:val="6E6158"/>
        </w:rPr>
        <w:t>transfer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</w:t>
      </w:r>
      <w:r>
        <w:rPr>
          <w:color w:val="6E6158"/>
          <w:spacing w:val="27"/>
        </w:rPr>
        <w:t> </w:t>
      </w:r>
      <w:r>
        <w:rPr>
          <w:color w:val="6E6158"/>
        </w:rPr>
        <w:t>goals</w:t>
      </w:r>
      <w:r>
        <w:rPr>
          <w:color w:val="6E6158"/>
          <w:spacing w:val="27"/>
        </w:rPr>
        <w:t> </w:t>
      </w:r>
      <w:r>
        <w:rPr>
          <w:color w:val="6E6158"/>
        </w:rPr>
        <w:t>are met with favorable tax outcomes.</w:t>
      </w:r>
    </w:p>
    <w:p>
      <w:pPr>
        <w:pStyle w:val="BodyText"/>
        <w:spacing w:line="292" w:lineRule="auto" w:before="196"/>
        <w:ind w:right="752"/>
      </w:pPr>
      <w:r>
        <w:rPr>
          <w:color w:val="6E6158"/>
        </w:rPr>
        <w:t>In addition, Ms. Freeman excels in the formation and administration of trusts. Her knowledge in</w:t>
      </w:r>
      <w:r>
        <w:rPr>
          <w:color w:val="6E6158"/>
          <w:spacing w:val="40"/>
        </w:rPr>
        <w:t> </w:t>
      </w:r>
      <w:r>
        <w:rPr>
          <w:color w:val="6E6158"/>
        </w:rPr>
        <w:t>this area allows for effective management and distribution of assets, providing clients with</w:t>
      </w:r>
      <w:r>
        <w:rPr>
          <w:color w:val="6E6158"/>
          <w:spacing w:val="40"/>
        </w:rPr>
        <w:t> </w:t>
      </w:r>
      <w:r>
        <w:rPr>
          <w:color w:val="6E6158"/>
        </w:rPr>
        <w:t>peace of mind and ensuring their estate plans are executed as intended.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3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157870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782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416236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53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University of California, Santa Cruz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171pt;width:1.65pt;height:1.65pt;mso-position-horizontal-relative:page;mso-position-vertical-relative:paragraph;z-index:15730176" id="docshape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410729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919pt;width:1.65pt;height:1.65pt;mso-position-horizontal-relative:page;mso-position-vertical-relative:paragraph;z-index:15730688" id="docshape1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35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3"/>
        </w:rPr>
        <w:t> </w:t>
      </w:r>
      <w:r>
        <w:rPr>
          <w:color w:val="6E6158"/>
        </w:rPr>
        <w:t>16</w:t>
      </w:r>
      <w:r>
        <w:rPr>
          <w:color w:val="6E6158"/>
          <w:spacing w:val="4"/>
        </w:rPr>
        <w:t> </w:t>
      </w:r>
      <w:r>
        <w:rPr>
          <w:color w:val="6E6158"/>
        </w:rPr>
        <w:t>Oral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Advocate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6"/>
        <w:ind w:left="853" w:right="407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152392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47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333248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40072pt;width:1.65pt;height:1.65pt;mso-position-horizontal-relative:page;mso-position-vertical-relative:paragraph;z-index:15732224" id="docshape13" coordorigin="2171,525" coordsize="33,33" path="m2192,557l2183,557,2179,556,2173,549,2171,546,2171,537,2173,533,2179,526,2183,525,2192,525,2196,526,2202,533,2204,537,2204,541,2204,546,2202,549,2196,556,2192,5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&amp; Entertainment Law Society, Treasurer, 2020-</w:t>
      </w:r>
      <w:r>
        <w:rPr>
          <w:color w:val="6E6158"/>
        </w:rPr>
        <w:t>2021 Vice President, 2021-2022</w:t>
      </w:r>
    </w:p>
    <w:p>
      <w:pPr>
        <w:pStyle w:val="Heading1"/>
        <w:spacing w:before="293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152605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153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mfree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2024-12-04T08:29:11Z</dcterms:created>
  <dcterms:modified xsi:type="dcterms:W3CDTF">2024-12-04T08:29:11Z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