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9"/>
        </w:rPr>
      </w:pPr>
    </w:p>
    <w:p>
      <w:pPr>
        <w:pStyle w:val="BodyText"/>
        <w:spacing w:before="305"/>
        <w:rPr>
          <w:rFonts w:ascii="Times New Roman"/>
          <w:sz w:val="39"/>
        </w:rPr>
      </w:pPr>
    </w:p>
    <w:p>
      <w:pPr>
        <w:pStyle w:val="Title"/>
      </w:pPr>
      <w:r>
        <w:rPr>
          <w:color w:val="FFFFFF"/>
        </w:rPr>
        <w:t>NEAL A. </w:t>
      </w:r>
      <w:r>
        <w:rPr>
          <w:color w:val="FFFFFF"/>
          <w:spacing w:val="-2"/>
        </w:rPr>
        <w:t>PARISH</w:t>
      </w:r>
    </w:p>
    <w:p>
      <w:pPr>
        <w:spacing w:before="39"/>
        <w:ind w:left="4772" w:right="0" w:firstLine="0"/>
        <w:jc w:val="center"/>
        <w:rPr>
          <w:sz w:val="24"/>
        </w:rPr>
      </w:pPr>
      <w:r>
        <w:rPr>
          <w:color w:val="FFFFFF"/>
          <w:spacing w:val="-2"/>
          <w:sz w:val="24"/>
        </w:rPr>
        <w:t>Director</w:t>
      </w:r>
    </w:p>
    <w:p>
      <w:pPr>
        <w:spacing w:before="291"/>
        <w:ind w:left="4772" w:right="0" w:firstLine="0"/>
        <w:jc w:val="center"/>
        <w:rPr>
          <w:sz w:val="16"/>
        </w:rPr>
      </w:pPr>
      <w:hyperlink r:id="rId5">
        <w:r>
          <w:rPr>
            <w:color w:val="FFFFFF"/>
            <w:sz w:val="16"/>
          </w:rPr>
          <w:t>Land</w:t>
        </w:r>
        <w:r>
          <w:rPr>
            <w:color w:val="FFFFFF"/>
            <w:spacing w:val="3"/>
            <w:sz w:val="16"/>
          </w:rPr>
          <w:t> </w:t>
        </w:r>
        <w:r>
          <w:rPr>
            <w:color w:val="FFFFFF"/>
            <w:spacing w:val="-5"/>
            <w:sz w:val="16"/>
          </w:rPr>
          <w:t>Use</w:t>
        </w:r>
      </w:hyperlink>
    </w:p>
    <w:p>
      <w:pPr>
        <w:pStyle w:val="BodyText"/>
        <w:spacing w:before="8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2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NEAL</w:t>
      </w:r>
      <w:r>
        <w:rPr>
          <w:color w:val="FF8100"/>
          <w:spacing w:val="5"/>
        </w:rPr>
        <w:t> </w:t>
      </w:r>
      <w:r>
        <w:rPr>
          <w:color w:val="FF8100"/>
        </w:rPr>
        <w:t>A.</w:t>
      </w:r>
      <w:r>
        <w:rPr>
          <w:color w:val="FF8100"/>
          <w:spacing w:val="5"/>
        </w:rPr>
        <w:t> </w:t>
      </w:r>
      <w:r>
        <w:rPr>
          <w:color w:val="FF8100"/>
          <w:spacing w:val="-115"/>
        </w:rPr>
        <w:t>P</w:t>
      </w:r>
      <w:r>
        <w:rPr>
          <w:b w:val="0"/>
          <w:color w:val="FFFFFF"/>
          <w:spacing w:val="-621"/>
          <w:w w:val="99"/>
          <w:position w:val="15"/>
          <w:sz w:val="145"/>
        </w:rPr>
        <w:t>“</w:t>
      </w:r>
      <w:r>
        <w:rPr>
          <w:color w:val="FF8100"/>
          <w:spacing w:val="-2"/>
        </w:rPr>
        <w:t>ARISH</w:t>
      </w:r>
    </w:p>
    <w:p>
      <w:pPr>
        <w:spacing w:before="103"/>
        <w:ind w:left="2095" w:right="0" w:firstLine="0"/>
        <w:jc w:val="center"/>
        <w:rPr>
          <w:sz w:val="16"/>
        </w:rPr>
      </w:pPr>
      <w:r>
        <w:rPr/>
        <w:br w:type="column"/>
      </w:r>
      <w:hyperlink r:id="rId6">
        <w:r>
          <w:rPr>
            <w:color w:val="FFFFFF"/>
            <w:spacing w:val="-2"/>
            <w:sz w:val="16"/>
          </w:rPr>
          <w:t>Oakland</w:t>
        </w:r>
      </w:hyperlink>
    </w:p>
    <w:p>
      <w:pPr>
        <w:tabs>
          <w:tab w:pos="3735" w:val="left" w:leader="none"/>
        </w:tabs>
        <w:spacing w:before="54"/>
        <w:ind w:left="2095" w:right="0" w:firstLine="0"/>
        <w:jc w:val="center"/>
        <w:rPr>
          <w:sz w:val="17"/>
        </w:rPr>
      </w:pPr>
      <w:r>
        <w:rPr>
          <w:color w:val="FFFFFF"/>
          <w:sz w:val="17"/>
        </w:rPr>
        <w:t>P: </w:t>
      </w:r>
      <w:r>
        <w:rPr>
          <w:color w:val="FFFFFF"/>
          <w:spacing w:val="-2"/>
          <w:sz w:val="17"/>
        </w:rPr>
        <w:t>510.834.6600</w:t>
      </w:r>
      <w:r>
        <w:rPr>
          <w:color w:val="FFFFFF"/>
          <w:sz w:val="17"/>
        </w:rPr>
        <w:tab/>
        <w:t>F:</w:t>
      </w:r>
      <w:r>
        <w:rPr>
          <w:color w:val="FFFFFF"/>
          <w:spacing w:val="-2"/>
          <w:sz w:val="17"/>
        </w:rPr>
        <w:t> 510.834.1928</w:t>
      </w:r>
    </w:p>
    <w:p>
      <w:pPr>
        <w:spacing w:before="119"/>
        <w:ind w:left="2095" w:right="0" w:firstLine="0"/>
        <w:jc w:val="center"/>
        <w:rPr>
          <w:sz w:val="16"/>
        </w:rPr>
      </w:pPr>
      <w:hyperlink r:id="rId7">
        <w:r>
          <w:rPr>
            <w:color w:val="FFFFFF"/>
            <w:spacing w:val="-2"/>
            <w:sz w:val="16"/>
          </w:rPr>
          <w:t>nparish@fennemorelaw.com</w:t>
        </w:r>
      </w:hyperlink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6"/>
        </w:rPr>
      </w:pPr>
    </w:p>
    <w:p>
      <w:pPr>
        <w:tabs>
          <w:tab w:pos="4869" w:val="left" w:leader="none"/>
        </w:tabs>
        <w:spacing w:before="0"/>
        <w:ind w:left="104" w:right="0" w:firstLine="0"/>
        <w:jc w:val="left"/>
        <w:rPr>
          <w:position w:val="-89"/>
          <w:sz w:val="145"/>
        </w:rPr>
      </w:pPr>
      <w:r>
        <w:rPr>
          <w:color w:val="FFFFFF"/>
          <w:spacing w:val="-6"/>
          <w:sz w:val="16"/>
        </w:rPr>
        <w:t>Forget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world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peace;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visualize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using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your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turn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signals.</w:t>
      </w:r>
      <w:r>
        <w:rPr>
          <w:color w:val="FFFFFF"/>
          <w:sz w:val="16"/>
        </w:rPr>
        <w:tab/>
      </w:r>
      <w:r>
        <w:rPr>
          <w:color w:val="FFFFFF"/>
          <w:spacing w:val="-10"/>
          <w:position w:val="-89"/>
          <w:sz w:val="145"/>
        </w:rPr>
        <w:t>”</w:t>
      </w:r>
    </w:p>
    <w:p>
      <w:pPr>
        <w:spacing w:after="0"/>
        <w:jc w:val="left"/>
        <w:rPr>
          <w:position w:val="-89"/>
          <w:sz w:val="145"/>
        </w:rPr>
        <w:sectPr>
          <w:type w:val="continuous"/>
          <w:pgSz w:w="12240" w:h="15840"/>
          <w:pgMar w:top="560" w:bottom="280" w:left="1440" w:right="1440"/>
          <w:cols w:num="2" w:equalWidth="0">
            <w:col w:w="1946" w:space="730"/>
            <w:col w:w="6684"/>
          </w:cols>
        </w:sectPr>
      </w:pPr>
    </w:p>
    <w:p>
      <w:pPr>
        <w:pStyle w:val="BodyText"/>
        <w:spacing w:line="295" w:lineRule="auto" w:before="22"/>
        <w:ind w:left="104" w:right="1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0259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025900"/>
                          <a:chExt cx="6066790" cy="4025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42944" y="1369338"/>
                            <a:ext cx="18141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320675">
                                <a:moveTo>
                                  <a:pt x="181372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13725" y="320382"/>
                                </a:lnTo>
                                <a:lnTo>
                                  <a:pt x="1813725" y="315214"/>
                                </a:lnTo>
                                <a:close/>
                              </a:path>
                              <a:path w="1814195" h="320675">
                                <a:moveTo>
                                  <a:pt x="1813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13725" y="5168"/>
                                </a:lnTo>
                                <a:lnTo>
                                  <a:pt x="181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17pt;mso-position-horizontal-relative:page;mso-position-vertical-relative:page;z-index:-15787008" id="docshapegroup1" coordorigin="1341,560" coordsize="9554,6340">
                <v:rect style="position:absolute;left:1341;top:5108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8" o:title=""/>
                </v:shape>
                <v:shape style="position:absolute;left:1341;top:983;width:4777;height:4126" type="#_x0000_t75" id="docshape4" stroked="false">
                  <v:imagedata r:id="rId10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078;top:2716;width:2857;height:505" id="docshape6" coordorigin="7078,2716" coordsize="2857,505" path="m9934,3213l7078,3213,7078,3221,9934,3221,9934,3213xm9934,2716l7078,2716,7078,2725,9934,2725,9934,2716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With a professional background in planning and economics, including master’s degrees in city</w:t>
      </w:r>
      <w:r>
        <w:rPr>
          <w:color w:val="6E6158"/>
          <w:spacing w:val="40"/>
        </w:rPr>
        <w:t> </w:t>
      </w:r>
      <w:r>
        <w:rPr>
          <w:color w:val="6E6158"/>
        </w:rPr>
        <w:t>planning and transportation engineering, Neal offers private and public agency and private</w:t>
      </w:r>
      <w:r>
        <w:rPr>
          <w:color w:val="6E6158"/>
          <w:spacing w:val="40"/>
        </w:rPr>
        <w:t> </w:t>
      </w:r>
      <w:r>
        <w:rPr>
          <w:color w:val="6E6158"/>
        </w:rPr>
        <w:t>clients a unique mix of real estate and land use knowledge, experience and insight. He counsels</w:t>
      </w:r>
      <w:r>
        <w:rPr>
          <w:color w:val="6E6158"/>
          <w:spacing w:val="40"/>
        </w:rPr>
        <w:t> </w:t>
      </w:r>
      <w:r>
        <w:rPr>
          <w:color w:val="6E6158"/>
        </w:rPr>
        <w:t>on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range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matters</w:t>
      </w:r>
      <w:r>
        <w:rPr>
          <w:color w:val="6E6158"/>
          <w:spacing w:val="30"/>
        </w:rPr>
        <w:t> </w:t>
      </w:r>
      <w:r>
        <w:rPr>
          <w:color w:val="6E6158"/>
        </w:rPr>
        <w:t>including</w:t>
      </w:r>
      <w:r>
        <w:rPr>
          <w:color w:val="6E6158"/>
          <w:spacing w:val="30"/>
        </w:rPr>
        <w:t> </w:t>
      </w:r>
      <w:r>
        <w:rPr>
          <w:color w:val="6E6158"/>
        </w:rPr>
        <w:t>real</w:t>
      </w:r>
      <w:r>
        <w:rPr>
          <w:color w:val="6E6158"/>
          <w:spacing w:val="30"/>
        </w:rPr>
        <w:t> </w:t>
      </w:r>
      <w:r>
        <w:rPr>
          <w:color w:val="6E6158"/>
        </w:rPr>
        <w:t>estate</w:t>
      </w:r>
      <w:r>
        <w:rPr>
          <w:color w:val="6E6158"/>
          <w:spacing w:val="30"/>
        </w:rPr>
        <w:t> </w:t>
      </w:r>
      <w:r>
        <w:rPr>
          <w:color w:val="6E6158"/>
        </w:rPr>
        <w:t>transactions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agreements,</w:t>
      </w:r>
      <w:r>
        <w:rPr>
          <w:color w:val="6E6158"/>
          <w:spacing w:val="30"/>
        </w:rPr>
        <w:t> </w:t>
      </w:r>
      <w:r>
        <w:rPr>
          <w:color w:val="6E6158"/>
        </w:rPr>
        <w:t>easements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title</w:t>
      </w:r>
    </w:p>
    <w:p>
      <w:pPr>
        <w:pStyle w:val="BodyText"/>
        <w:spacing w:line="292" w:lineRule="auto" w:before="9"/>
        <w:ind w:left="104" w:right="192"/>
      </w:pPr>
      <w:r>
        <w:rPr>
          <w:color w:val="6E6158"/>
        </w:rPr>
        <w:t>issues, land use permitting, public projects and service contracts, and serving as public agency</w:t>
      </w:r>
      <w:r>
        <w:rPr>
          <w:color w:val="6E6158"/>
          <w:spacing w:val="40"/>
        </w:rPr>
        <w:t> </w:t>
      </w:r>
      <w:r>
        <w:rPr>
          <w:color w:val="6E6158"/>
        </w:rPr>
        <w:t>general counsel.</w:t>
      </w:r>
    </w:p>
    <w:p>
      <w:pPr>
        <w:pStyle w:val="BodyText"/>
        <w:spacing w:before="197"/>
        <w:ind w:left="104"/>
      </w:pPr>
      <w:r>
        <w:rPr>
          <w:color w:val="6E6158"/>
        </w:rPr>
        <w:t>Skilled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matters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public</w:t>
      </w:r>
      <w:r>
        <w:rPr>
          <w:color w:val="6E6158"/>
          <w:spacing w:val="11"/>
        </w:rPr>
        <w:t> </w:t>
      </w:r>
      <w:r>
        <w:rPr>
          <w:color w:val="6E6158"/>
        </w:rPr>
        <w:t>agency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experienced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city</w:t>
      </w:r>
      <w:r>
        <w:rPr>
          <w:color w:val="6E6158"/>
          <w:spacing w:val="11"/>
        </w:rPr>
        <w:t> </w:t>
      </w:r>
      <w:r>
        <w:rPr>
          <w:color w:val="6E6158"/>
        </w:rPr>
        <w:t>planning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transportation</w:t>
      </w:r>
    </w:p>
    <w:p>
      <w:pPr>
        <w:pStyle w:val="BodyText"/>
        <w:spacing w:line="295" w:lineRule="auto" w:before="51"/>
        <w:ind w:left="104" w:right="326"/>
      </w:pPr>
      <w:r>
        <w:rPr>
          <w:color w:val="6E6158"/>
        </w:rPr>
        <w:t>issues, Neal guides public agency clients on matters related to construction, design and other</w:t>
      </w:r>
      <w:r>
        <w:rPr>
          <w:color w:val="6E6158"/>
          <w:spacing w:val="40"/>
        </w:rPr>
        <w:t> </w:t>
      </w:r>
      <w:r>
        <w:rPr>
          <w:color w:val="6E6158"/>
        </w:rPr>
        <w:t>professional service contracts and procurement. He also advises clients regarding the implications of, and potential revisions to, new and pending legislation. Neal also serves as</w:t>
      </w:r>
      <w:r>
        <w:rPr>
          <w:color w:val="6E6158"/>
          <w:spacing w:val="40"/>
        </w:rPr>
        <w:t> </w:t>
      </w:r>
      <w:r>
        <w:rPr>
          <w:color w:val="6E6158"/>
        </w:rPr>
        <w:t>general counsel to public agencies, advising on a broad range of issues including </w:t>
      </w:r>
      <w:r>
        <w:rPr>
          <w:color w:val="6E6158"/>
        </w:rPr>
        <w:t>compliance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21"/>
        </w:rPr>
        <w:t> </w:t>
      </w:r>
      <w:r>
        <w:rPr>
          <w:color w:val="6E6158"/>
        </w:rPr>
        <w:t>applicable</w:t>
      </w:r>
      <w:r>
        <w:rPr>
          <w:color w:val="6E6158"/>
          <w:spacing w:val="21"/>
        </w:rPr>
        <w:t> </w:t>
      </w:r>
      <w:r>
        <w:rPr>
          <w:color w:val="6E6158"/>
        </w:rPr>
        <w:t>laws</w:t>
      </w:r>
      <w:r>
        <w:rPr>
          <w:color w:val="6E6158"/>
          <w:spacing w:val="21"/>
        </w:rPr>
        <w:t> </w:t>
      </w:r>
      <w:r>
        <w:rPr>
          <w:color w:val="6E6158"/>
        </w:rPr>
        <w:t>such</w:t>
      </w:r>
      <w:r>
        <w:rPr>
          <w:color w:val="6E6158"/>
          <w:spacing w:val="21"/>
        </w:rPr>
        <w:t> </w:t>
      </w:r>
      <w:r>
        <w:rPr>
          <w:color w:val="6E6158"/>
        </w:rPr>
        <w:t>as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Brown</w:t>
      </w:r>
      <w:r>
        <w:rPr>
          <w:color w:val="6E6158"/>
          <w:spacing w:val="21"/>
        </w:rPr>
        <w:t> </w:t>
      </w:r>
      <w:r>
        <w:rPr>
          <w:color w:val="6E6158"/>
        </w:rPr>
        <w:t>Act,</w:t>
      </w:r>
      <w:r>
        <w:rPr>
          <w:color w:val="6E6158"/>
          <w:spacing w:val="21"/>
        </w:rPr>
        <w:t> </w:t>
      </w:r>
      <w:r>
        <w:rPr>
          <w:color w:val="6E6158"/>
        </w:rPr>
        <w:t>Public</w:t>
      </w:r>
      <w:r>
        <w:rPr>
          <w:color w:val="6E6158"/>
          <w:spacing w:val="21"/>
        </w:rPr>
        <w:t> </w:t>
      </w:r>
      <w:r>
        <w:rPr>
          <w:color w:val="6E6158"/>
        </w:rPr>
        <w:t>Records</w:t>
      </w:r>
      <w:r>
        <w:rPr>
          <w:color w:val="6E6158"/>
          <w:spacing w:val="21"/>
        </w:rPr>
        <w:t> </w:t>
      </w:r>
      <w:r>
        <w:rPr>
          <w:color w:val="6E6158"/>
        </w:rPr>
        <w:t>Act,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Political</w:t>
      </w:r>
      <w:r>
        <w:rPr>
          <w:color w:val="6E6158"/>
          <w:spacing w:val="21"/>
        </w:rPr>
        <w:t> </w:t>
      </w:r>
      <w:r>
        <w:rPr>
          <w:color w:val="6E6158"/>
        </w:rPr>
        <w:t>Reform</w:t>
      </w:r>
      <w:r>
        <w:rPr>
          <w:color w:val="6E6158"/>
          <w:spacing w:val="21"/>
        </w:rPr>
        <w:t> </w:t>
      </w:r>
      <w:r>
        <w:rPr>
          <w:color w:val="6E6158"/>
        </w:rPr>
        <w:t>Act.</w:t>
      </w:r>
    </w:p>
    <w:p>
      <w:pPr>
        <w:pStyle w:val="BodyText"/>
        <w:spacing w:line="292" w:lineRule="auto" w:before="203"/>
        <w:ind w:left="104" w:right="326"/>
      </w:pPr>
      <w:r>
        <w:rPr>
          <w:color w:val="6E6158"/>
        </w:rPr>
        <w:t>For private industry and individual clients, Neal negotiates, drafts and analyzes agreements for</w:t>
      </w:r>
      <w:r>
        <w:rPr>
          <w:color w:val="6E6158"/>
          <w:spacing w:val="40"/>
        </w:rPr>
        <w:t> </w:t>
      </w:r>
      <w:r>
        <w:rPr>
          <w:color w:val="6E6158"/>
        </w:rPr>
        <w:t>real estate transactions, including leases, purchase and sale contracts, easements and </w:t>
      </w:r>
      <w:r>
        <w:rPr>
          <w:color w:val="6E6158"/>
        </w:rPr>
        <w:t>related</w:t>
      </w:r>
      <w:r>
        <w:rPr>
          <w:color w:val="6E6158"/>
          <w:spacing w:val="40"/>
        </w:rPr>
        <w:t> </w:t>
      </w:r>
      <w:r>
        <w:rPr>
          <w:color w:val="6E6158"/>
        </w:rPr>
        <w:t>agreements, and subdivision documents including CC&amp;Rs. He also assists clients with land use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related</w:t>
      </w:r>
      <w:r>
        <w:rPr>
          <w:color w:val="6E6158"/>
          <w:spacing w:val="37"/>
        </w:rPr>
        <w:t> </w:t>
      </w:r>
      <w:r>
        <w:rPr>
          <w:color w:val="6E6158"/>
        </w:rPr>
        <w:t>permitting</w:t>
      </w:r>
      <w:r>
        <w:rPr>
          <w:color w:val="6E6158"/>
          <w:spacing w:val="37"/>
        </w:rPr>
        <w:t> </w:t>
      </w:r>
      <w:r>
        <w:rPr>
          <w:color w:val="6E6158"/>
        </w:rPr>
        <w:t>issues,</w:t>
      </w:r>
      <w:r>
        <w:rPr>
          <w:color w:val="6E6158"/>
          <w:spacing w:val="37"/>
        </w:rPr>
        <w:t> </w:t>
      </w:r>
      <w:r>
        <w:rPr>
          <w:color w:val="6E6158"/>
        </w:rPr>
        <w:t>including</w:t>
      </w:r>
      <w:r>
        <w:rPr>
          <w:color w:val="6E6158"/>
          <w:spacing w:val="37"/>
        </w:rPr>
        <w:t> </w:t>
      </w:r>
      <w:r>
        <w:rPr>
          <w:color w:val="6E6158"/>
        </w:rPr>
        <w:t>CEQA,</w:t>
      </w:r>
      <w:r>
        <w:rPr>
          <w:color w:val="6E6158"/>
          <w:spacing w:val="37"/>
        </w:rPr>
        <w:t> </w:t>
      </w:r>
      <w:r>
        <w:rPr>
          <w:color w:val="6E6158"/>
        </w:rPr>
        <w:t>zoning,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other</w:t>
      </w:r>
      <w:r>
        <w:rPr>
          <w:color w:val="6E6158"/>
          <w:spacing w:val="37"/>
        </w:rPr>
        <w:t> </w:t>
      </w:r>
      <w:r>
        <w:rPr>
          <w:color w:val="6E6158"/>
        </w:rPr>
        <w:t>regulatory</w:t>
      </w:r>
      <w:r>
        <w:rPr>
          <w:color w:val="6E6158"/>
          <w:spacing w:val="37"/>
        </w:rPr>
        <w:t> </w:t>
      </w:r>
      <w:r>
        <w:rPr>
          <w:color w:val="6E6158"/>
        </w:rPr>
        <w:t>matters.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152828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736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3"/>
        </w:rPr>
        <w:t> </w:t>
      </w:r>
      <w:r>
        <w:rPr>
          <w:color w:val="6E6158"/>
        </w:rPr>
        <w:t>Berkeley,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left="356" w:right="41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169923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9781pt;width:1.65pt;height:1.65pt;mso-position-horizontal-relative:page;mso-position-vertical-relative:paragraph;z-index:15729664" id="docshape8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428288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23530pt;width:1.65pt;height:1.65pt;mso-position-horizontal-relative:page;mso-position-vertical-relative:paragraph;z-index:15730176" id="docshape9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M.S. and M.C.P., University of California, </w:t>
      </w:r>
      <w:r>
        <w:rPr>
          <w:color w:val="6E6158"/>
        </w:rPr>
        <w:t>Berkeley</w:t>
      </w:r>
      <w:r>
        <w:rPr>
          <w:color w:val="6E6158"/>
        </w:rPr>
        <w:t> B.A., University of California, Los Angeles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152438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044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200" id="docshape1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1712" id="docshape1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</w:t>
      </w:r>
      <w:r>
        <w:rPr>
          <w:color w:val="6E6158"/>
          <w:spacing w:val="16"/>
        </w:rPr>
        <w:t> </w:t>
      </w:r>
      <w:r>
        <w:rPr>
          <w:color w:val="6E6158"/>
        </w:rPr>
        <w:t>Relations</w:t>
      </w:r>
      <w:r>
        <w:rPr>
          <w:color w:val="6E6158"/>
          <w:spacing w:val="17"/>
        </w:rPr>
        <w:t> </w:t>
      </w:r>
      <w:r>
        <w:rPr>
          <w:color w:val="6E6158"/>
        </w:rPr>
        <w:t>&amp;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Regulatory</w:t>
      </w:r>
    </w:p>
    <w:p>
      <w:pPr>
        <w:pStyle w:val="Heading1"/>
        <w:spacing w:before="22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1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152969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831pt;width:1.65pt;height:1.65pt;mso-position-horizontal-relative:page;mso-position-vertical-relative:paragraph;z-index:15732224" id="docshape1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Update Author, “California Easements and Boundaries: Law and Litigation,” </w:t>
      </w:r>
      <w:r>
        <w:rPr>
          <w:color w:val="6E6158"/>
        </w:rPr>
        <w:t>California Continuing Education of the Bar, 2010-2021</w:t>
      </w:r>
    </w:p>
    <w:p>
      <w:pPr>
        <w:pStyle w:val="BodyText"/>
        <w:spacing w:line="292" w:lineRule="auto" w:before="123"/>
        <w:ind w:left="356" w:right="2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137906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8805pt;width:1.65pt;height:1.65pt;mso-position-horizontal-relative:page;mso-position-vertical-relative:paragraph;z-index:15732736" id="docshape1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Update Author, “Office Leasing: Drafting and Negotiating the Lease,” California </w:t>
      </w:r>
      <w:r>
        <w:rPr>
          <w:color w:val="6E6158"/>
        </w:rPr>
        <w:t>Continuing Education of the Bar, 2002, 2008-2021</w:t>
      </w:r>
    </w:p>
    <w:p>
      <w:pPr>
        <w:pStyle w:val="BodyText"/>
        <w:spacing w:line="292" w:lineRule="auto" w:before="132"/>
        <w:ind w:left="356" w:right="1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143251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653pt;width:1.65pt;height:1.65pt;mso-position-horizontal-relative:page;mso-position-vertical-relative:paragraph;z-index:15733248" id="docshape15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Update Author, “Retail Leasing: Drafting and Negotiating the Lease,” California </w:t>
      </w:r>
      <w:r>
        <w:rPr>
          <w:color w:val="6E6158"/>
        </w:rPr>
        <w:t>Continuing Education of the Bar, 2008-2021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137714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3626pt;width:1.65pt;height:1.65pt;mso-position-horizontal-relative:page;mso-position-vertical-relative:paragraph;z-index:15733760" id="docshape16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1"/>
        </w:rPr>
        <w:t> </w:t>
      </w:r>
      <w:r>
        <w:rPr>
          <w:color w:val="6E6158"/>
        </w:rPr>
        <w:t>“Inclusionary</w:t>
      </w:r>
      <w:r>
        <w:rPr>
          <w:color w:val="6E6158"/>
          <w:spacing w:val="12"/>
        </w:rPr>
        <w:t> </w:t>
      </w:r>
      <w:r>
        <w:rPr>
          <w:color w:val="6E6158"/>
        </w:rPr>
        <w:t>Housing</w:t>
      </w:r>
      <w:r>
        <w:rPr>
          <w:color w:val="6E6158"/>
          <w:spacing w:val="11"/>
        </w:rPr>
        <w:t> </w:t>
      </w:r>
      <w:r>
        <w:rPr>
          <w:color w:val="6E6158"/>
        </w:rPr>
        <w:t>Stays,”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Registry,</w:t>
      </w:r>
      <w:r>
        <w:rPr>
          <w:color w:val="6E6158"/>
          <w:spacing w:val="11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</w:rPr>
        <w:t>29,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302" w:lineRule="auto" w:before="174"/>
        <w:ind w:left="356" w:right="1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170048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967pt;width:1.65pt;height:1.65pt;mso-position-horizontal-relative:page;mso-position-vertical-relative:paragraph;z-index:15734272" id="docshape17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Supreme Court Endorses City Authority to Adopt Inclusionary </w:t>
      </w:r>
      <w:r>
        <w:rPr>
          <w:color w:val="6E6158"/>
        </w:rPr>
        <w:t>Housing Ordinance,” Wendel Rosen LLP, June 17, 2015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131174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8702pt;width:1.65pt;height:1.65pt;mso-position-horizontal-relative:page;mso-position-vertical-relative:paragraph;z-index:15734784" id="docshape18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</w:t>
      </w:r>
      <w:r>
        <w:rPr>
          <w:color w:val="6E6158"/>
          <w:spacing w:val="8"/>
        </w:rPr>
        <w:t> </w:t>
      </w:r>
      <w:r>
        <w:rPr>
          <w:color w:val="6E6158"/>
        </w:rPr>
        <w:t>“The</w:t>
      </w:r>
      <w:r>
        <w:rPr>
          <w:color w:val="6E6158"/>
          <w:spacing w:val="9"/>
        </w:rPr>
        <w:t> </w:t>
      </w:r>
      <w:r>
        <w:rPr>
          <w:color w:val="6E6158"/>
        </w:rPr>
        <w:t>City</w:t>
      </w:r>
      <w:r>
        <w:rPr>
          <w:color w:val="6E6158"/>
          <w:spacing w:val="8"/>
        </w:rPr>
        <w:t> </w:t>
      </w:r>
      <w:r>
        <w:rPr>
          <w:color w:val="6E6158"/>
        </w:rPr>
        <w:t>Giveth</w:t>
      </w:r>
      <w:r>
        <w:rPr>
          <w:color w:val="6E6158"/>
          <w:spacing w:val="8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City</w:t>
      </w:r>
      <w:r>
        <w:rPr>
          <w:color w:val="6E6158"/>
          <w:spacing w:val="9"/>
        </w:rPr>
        <w:t> </w:t>
      </w:r>
      <w:r>
        <w:rPr>
          <w:color w:val="6E6158"/>
        </w:rPr>
        <w:t>Taketh</w:t>
      </w:r>
      <w:r>
        <w:rPr>
          <w:color w:val="6E6158"/>
          <w:spacing w:val="8"/>
        </w:rPr>
        <w:t> </w:t>
      </w:r>
      <w:r>
        <w:rPr>
          <w:color w:val="6E6158"/>
        </w:rPr>
        <w:t>Away,”</w:t>
      </w:r>
      <w:r>
        <w:rPr>
          <w:color w:val="6E6158"/>
          <w:spacing w:val="9"/>
        </w:rPr>
        <w:t> </w:t>
      </w:r>
      <w:r>
        <w:rPr>
          <w:color w:val="6E6158"/>
        </w:rPr>
        <w:t>Alameda</w:t>
      </w:r>
      <w:r>
        <w:rPr>
          <w:color w:val="6E6158"/>
          <w:spacing w:val="8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152497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713pt;width:1.65pt;height:1.65pt;mso-position-horizontal-relative:page;mso-position-vertical-relative:paragraph;z-index:15735296" id="docshape1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Alameda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00" w:lineRule="atLeast" w:before="15"/>
        <w:ind w:left="356" w:right="2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175395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0633pt;width:1.65pt;height:1.65pt;mso-position-horizontal-relative:page;mso-position-vertical-relative:paragraph;z-index:15735808" id="docshape2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433760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4381pt;width:1.65pt;height:1.65pt;mso-position-horizontal-relative:page;mso-position-vertical-relative:paragraph;z-index:15736320" id="docshape21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692126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98131pt;width:1.65pt;height:1.65pt;mso-position-horizontal-relative:page;mso-position-vertical-relative:paragraph;z-index:15736832" id="docshape22" coordorigin="1675,1090" coordsize="33,33" path="m1696,1123l1687,1123,1683,1121,1676,1115,1675,1111,1675,1102,1676,1098,1683,1092,1687,1090,1696,1090,1699,1092,1706,1098,1707,1102,1707,1106,1707,1111,1706,1115,1699,1121,1696,1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29"/>
        </w:rPr>
        <w:t> </w:t>
      </w:r>
      <w:r>
        <w:rPr>
          <w:color w:val="6E6158"/>
        </w:rPr>
        <w:t>Real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  <w:r>
        <w:rPr>
          <w:color w:val="6E6158"/>
          <w:spacing w:val="29"/>
        </w:rPr>
        <w:t> </w:t>
      </w:r>
      <w:r>
        <w:rPr>
          <w:color w:val="6E6158"/>
        </w:rPr>
        <w:t>Property</w:t>
      </w:r>
      <w:r>
        <w:rPr>
          <w:color w:val="6E6158"/>
          <w:spacing w:val="29"/>
        </w:rPr>
        <w:t> </w:t>
      </w:r>
      <w:r>
        <w:rPr>
          <w:color w:val="6E6158"/>
        </w:rPr>
        <w:t>Section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Public</w:t>
      </w:r>
      <w:r>
        <w:rPr>
          <w:color w:val="6E6158"/>
          <w:spacing w:val="29"/>
        </w:rPr>
        <w:t> </w:t>
      </w:r>
      <w:r>
        <w:rPr>
          <w:color w:val="6E6158"/>
        </w:rPr>
        <w:t>Law</w:t>
      </w:r>
      <w:r>
        <w:rPr>
          <w:color w:val="6E6158"/>
          <w:spacing w:val="29"/>
        </w:rPr>
        <w:t> </w:t>
      </w:r>
      <w:r>
        <w:rPr>
          <w:color w:val="6E6158"/>
        </w:rPr>
        <w:t>Section,</w:t>
      </w:r>
      <w:r>
        <w:rPr>
          <w:color w:val="6E6158"/>
          <w:spacing w:val="29"/>
        </w:rPr>
        <w:t> </w:t>
      </w:r>
      <w:r>
        <w:rPr>
          <w:color w:val="6E6158"/>
        </w:rPr>
        <w:t>State</w:t>
      </w:r>
      <w:r>
        <w:rPr>
          <w:color w:val="6E6158"/>
          <w:spacing w:val="29"/>
        </w:rPr>
        <w:t> </w:t>
      </w:r>
      <w:r>
        <w:rPr>
          <w:color w:val="6E6158"/>
        </w:rPr>
        <w:t>Bar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California Former Member and Former Chair, Landmarks Preservation Advisory Board, City of Oakland</w:t>
      </w:r>
      <w:r>
        <w:rPr>
          <w:color w:val="6E6158"/>
          <w:spacing w:val="40"/>
        </w:rPr>
        <w:t> </w:t>
      </w:r>
      <w:r>
        <w:rPr>
          <w:color w:val="6E6158"/>
        </w:rPr>
        <w:t>Former</w:t>
      </w:r>
      <w:r>
        <w:rPr>
          <w:color w:val="6E6158"/>
          <w:spacing w:val="37"/>
        </w:rPr>
        <w:t> </w:t>
      </w:r>
      <w:r>
        <w:rPr>
          <w:color w:val="6E6158"/>
        </w:rPr>
        <w:t>Member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Former</w:t>
      </w:r>
      <w:r>
        <w:rPr>
          <w:color w:val="6E6158"/>
          <w:spacing w:val="37"/>
        </w:rPr>
        <w:t> </w:t>
      </w:r>
      <w:r>
        <w:rPr>
          <w:color w:val="6E6158"/>
        </w:rPr>
        <w:t>Chair,</w:t>
      </w:r>
      <w:r>
        <w:rPr>
          <w:color w:val="6E6158"/>
          <w:spacing w:val="37"/>
        </w:rPr>
        <w:t> </w:t>
      </w:r>
      <w:r>
        <w:rPr>
          <w:color w:val="6E6158"/>
        </w:rPr>
        <w:t>Facilities</w:t>
      </w:r>
      <w:r>
        <w:rPr>
          <w:color w:val="6E6158"/>
          <w:spacing w:val="37"/>
        </w:rPr>
        <w:t> </w:t>
      </w:r>
      <w:r>
        <w:rPr>
          <w:color w:val="6E6158"/>
        </w:rPr>
        <w:t>Advisory</w:t>
      </w:r>
      <w:r>
        <w:rPr>
          <w:color w:val="6E6158"/>
          <w:spacing w:val="37"/>
        </w:rPr>
        <w:t> </w:t>
      </w:r>
      <w:r>
        <w:rPr>
          <w:color w:val="6E6158"/>
        </w:rPr>
        <w:t>Committee,</w:t>
      </w:r>
      <w:r>
        <w:rPr>
          <w:color w:val="6E6158"/>
          <w:spacing w:val="37"/>
        </w:rPr>
        <w:t> </w:t>
      </w:r>
      <w:r>
        <w:rPr>
          <w:color w:val="6E6158"/>
        </w:rPr>
        <w:t>Oakland</w:t>
      </w:r>
      <w:r>
        <w:rPr>
          <w:color w:val="6E6158"/>
          <w:spacing w:val="37"/>
        </w:rPr>
        <w:t> </w:t>
      </w:r>
      <w:r>
        <w:rPr>
          <w:color w:val="6E6158"/>
        </w:rPr>
        <w:t>Unified</w:t>
      </w:r>
      <w:r>
        <w:rPr>
          <w:color w:val="6E6158"/>
          <w:spacing w:val="37"/>
        </w:rPr>
        <w:t> </w:t>
      </w:r>
      <w:r>
        <w:rPr>
          <w:color w:val="6E6158"/>
        </w:rPr>
        <w:t>School</w:t>
      </w:r>
    </w:p>
    <w:p>
      <w:pPr>
        <w:pStyle w:val="BodyText"/>
        <w:spacing w:before="66"/>
        <w:ind w:left="356"/>
      </w:pPr>
      <w:r>
        <w:rPr>
          <w:color w:val="6E6158"/>
          <w:spacing w:val="-2"/>
        </w:rPr>
        <w:t>District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152712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642pt;width:1.65pt;height:1.65pt;mso-position-horizontal-relative:page;mso-position-vertical-relative:paragraph;z-index:15737344" id="docshape2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772"/>
      <w:jc w:val="center"/>
    </w:pPr>
    <w:rPr>
      <w:rFonts w:ascii="Century Gothic" w:hAnsi="Century Gothic" w:eastAsia="Century Gothic" w:cs="Century Gothic"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fennemorelaw.com/services/land-use/" TargetMode="External"/><Relationship Id="rId6" Type="http://schemas.openxmlformats.org/officeDocument/2006/relationships/hyperlink" Target="https://www.fennemorelaw.com/contact-us/oakland/" TargetMode="External"/><Relationship Id="rId7" Type="http://schemas.openxmlformats.org/officeDocument/2006/relationships/hyperlink" Target="mailto:nparish@fennemorelaw.com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fennemorelaw.com/" TargetMode="External"/><Relationship Id="rId10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2024-12-04T08:44:28Z</dcterms:created>
  <dcterms:modified xsi:type="dcterms:W3CDTF">2024-12-04T08:44:28Z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