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IRVINE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602.916.5606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pirvine@fennemorelaw.com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19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IRVINE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602.916.5606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pirvine@fennemorelaw.com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PATRICK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2"/>
          <w:sz w:val="24"/>
        </w:rPr>
        <w:t>IRVINE</w:t>
      </w:r>
    </w:p>
    <w:p>
      <w:pPr>
        <w:pStyle w:val="BodyText"/>
        <w:spacing w:before="147"/>
        <w:ind w:left="104"/>
      </w:pPr>
      <w:r>
        <w:rPr>
          <w:color w:val="6E6158"/>
        </w:rPr>
        <w:t>Pat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Judge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who</w:t>
      </w:r>
      <w:r>
        <w:rPr>
          <w:color w:val="6E6158"/>
          <w:spacing w:val="10"/>
        </w:rPr>
        <w:t> </w:t>
      </w:r>
      <w:r>
        <w:rPr>
          <w:color w:val="6E6158"/>
        </w:rPr>
        <w:t>practices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federal,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local</w:t>
      </w:r>
    </w:p>
    <w:p>
      <w:pPr>
        <w:pStyle w:val="BodyText"/>
        <w:spacing w:line="292" w:lineRule="auto" w:before="60"/>
        <w:ind w:left="104" w:right="541"/>
      </w:pPr>
      <w:r>
        <w:rPr>
          <w:color w:val="6E6158"/>
        </w:rPr>
        <w:t>taxation, nonprofit and tax-exempt organizations, government regulation, Indian law, </w:t>
      </w:r>
      <w:r>
        <w:rPr>
          <w:color w:val="6E6158"/>
        </w:rPr>
        <w:t>alternative</w:t>
      </w:r>
      <w:r>
        <w:rPr>
          <w:color w:val="6E6158"/>
          <w:spacing w:val="40"/>
        </w:rPr>
        <w:t> </w:t>
      </w:r>
      <w:r>
        <w:rPr>
          <w:color w:val="6E6158"/>
        </w:rPr>
        <w:t>dispute</w:t>
      </w:r>
      <w:r>
        <w:rPr>
          <w:color w:val="6E6158"/>
          <w:spacing w:val="27"/>
        </w:rPr>
        <w:t> </w:t>
      </w:r>
      <w:r>
        <w:rPr>
          <w:color w:val="6E6158"/>
        </w:rPr>
        <w:t>resolution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appeals.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advises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represents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aspects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and local</w:t>
      </w:r>
      <w:r>
        <w:rPr>
          <w:color w:val="6E6158"/>
          <w:spacing w:val="38"/>
        </w:rPr>
        <w:t> </w:t>
      </w:r>
      <w:r>
        <w:rPr>
          <w:color w:val="6E6158"/>
        </w:rPr>
        <w:t>tax,</w:t>
      </w:r>
      <w:r>
        <w:rPr>
          <w:color w:val="6E6158"/>
          <w:spacing w:val="38"/>
        </w:rPr>
        <w:t> </w:t>
      </w:r>
      <w:r>
        <w:rPr>
          <w:color w:val="6E6158"/>
        </w:rPr>
        <w:t>nonprofit</w:t>
      </w:r>
      <w:r>
        <w:rPr>
          <w:color w:val="6E6158"/>
          <w:spacing w:val="38"/>
        </w:rPr>
        <w:t> </w:t>
      </w:r>
      <w:r>
        <w:rPr>
          <w:color w:val="6E6158"/>
        </w:rPr>
        <w:t>formation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operation,</w:t>
      </w:r>
      <w:r>
        <w:rPr>
          <w:color w:val="6E6158"/>
          <w:spacing w:val="38"/>
        </w:rPr>
        <w:t> </w:t>
      </w:r>
      <w:r>
        <w:rPr>
          <w:color w:val="6E6158"/>
        </w:rPr>
        <w:t>qualification</w:t>
      </w:r>
      <w:r>
        <w:rPr>
          <w:color w:val="6E6158"/>
          <w:spacing w:val="38"/>
        </w:rPr>
        <w:t> </w:t>
      </w:r>
      <w:r>
        <w:rPr>
          <w:color w:val="6E6158"/>
        </w:rPr>
        <w:t>for</w:t>
      </w:r>
      <w:r>
        <w:rPr>
          <w:color w:val="6E6158"/>
          <w:spacing w:val="38"/>
        </w:rPr>
        <w:t> </w:t>
      </w:r>
      <w:r>
        <w:rPr>
          <w:color w:val="6E6158"/>
        </w:rPr>
        <w:t>tax</w:t>
      </w:r>
      <w:r>
        <w:rPr>
          <w:color w:val="6E6158"/>
          <w:spacing w:val="38"/>
        </w:rPr>
        <w:t> </w:t>
      </w:r>
      <w:r>
        <w:rPr>
          <w:color w:val="6E6158"/>
        </w:rPr>
        <w:t>exemptions,</w:t>
      </w:r>
      <w:r>
        <w:rPr>
          <w:color w:val="6E6158"/>
          <w:spacing w:val="38"/>
        </w:rPr>
        <w:t> </w:t>
      </w:r>
      <w:r>
        <w:rPr>
          <w:color w:val="6E6158"/>
        </w:rPr>
        <w:t>charitable</w:t>
      </w:r>
    </w:p>
    <w:p>
      <w:pPr>
        <w:pStyle w:val="BodyText"/>
        <w:spacing w:line="295" w:lineRule="auto" w:before="10"/>
        <w:ind w:left="104" w:right="685"/>
      </w:pPr>
      <w:r>
        <w:rPr>
          <w:color w:val="6E6158"/>
        </w:rPr>
        <w:t>contributions, tax audits and appeals, and government regulation. His broad experience as a</w:t>
      </w:r>
      <w:r>
        <w:rPr>
          <w:color w:val="6E6158"/>
          <w:spacing w:val="40"/>
        </w:rPr>
        <w:t> </w:t>
      </w:r>
      <w:r>
        <w:rPr>
          <w:color w:val="6E6158"/>
        </w:rPr>
        <w:t>judge and attorney in interpreting and applying statutes and contracts, combined with</w:t>
      </w:r>
      <w:r>
        <w:rPr>
          <w:color w:val="6E6158"/>
          <w:spacing w:val="40"/>
        </w:rPr>
        <w:t> </w:t>
      </w:r>
      <w:r>
        <w:rPr>
          <w:color w:val="6E6158"/>
        </w:rPr>
        <w:t>specialized knowledge and experience in taxation and government regulation, make him</w:t>
      </w:r>
      <w:r>
        <w:rPr>
          <w:color w:val="6E6158"/>
          <w:spacing w:val="40"/>
        </w:rPr>
        <w:t> </w:t>
      </w:r>
      <w:r>
        <w:rPr>
          <w:color w:val="6E6158"/>
        </w:rPr>
        <w:t>uniquely qualified to understand what governing documents and agreements mean and how</w:t>
      </w:r>
      <w:r>
        <w:rPr>
          <w:color w:val="6E6158"/>
          <w:spacing w:val="40"/>
        </w:rPr>
        <w:t> </w:t>
      </w:r>
      <w:r>
        <w:rPr>
          <w:color w:val="6E6158"/>
        </w:rPr>
        <w:t>they should be drafted. His experience as a judge and advocate, along with his work as a</w:t>
      </w:r>
      <w:r>
        <w:rPr>
          <w:color w:val="6E6158"/>
          <w:spacing w:val="40"/>
        </w:rPr>
        <w:t> </w:t>
      </w:r>
      <w:r>
        <w:rPr>
          <w:color w:val="6E6158"/>
        </w:rPr>
        <w:t>mediator and arbitrator, help him to work with clients to efficiently resolve internal and external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disputes.</w:t>
      </w:r>
    </w:p>
    <w:p>
      <w:pPr>
        <w:pStyle w:val="BodyText"/>
        <w:spacing w:line="297" w:lineRule="auto" w:before="191"/>
        <w:ind w:left="104" w:right="553"/>
      </w:pPr>
      <w:r>
        <w:rPr>
          <w:color w:val="6E6158"/>
        </w:rPr>
        <w:t>In the nonprofit area, Pat advises charter schools on the open meeting and public records laws,</w:t>
      </w:r>
      <w:r>
        <w:rPr>
          <w:color w:val="6E6158"/>
          <w:spacing w:val="80"/>
        </w:rPr>
        <w:t> </w:t>
      </w:r>
      <w:r>
        <w:rPr>
          <w:color w:val="6E6158"/>
        </w:rPr>
        <w:t>as well as state aid and charter school governance issues. Representing a charter school and its</w:t>
      </w:r>
      <w:r>
        <w:rPr>
          <w:color w:val="6E6158"/>
          <w:spacing w:val="40"/>
        </w:rPr>
        <w:t> </w:t>
      </w:r>
      <w:r>
        <w:rPr>
          <w:color w:val="6E6158"/>
        </w:rPr>
        <w:t>management company, he successfully defended a multi-million dollar lawsuit initiated by the</w:t>
      </w:r>
      <w:r>
        <w:rPr>
          <w:color w:val="6E6158"/>
          <w:spacing w:val="40"/>
        </w:rPr>
        <w:t> </w:t>
      </w:r>
      <w:r>
        <w:rPr>
          <w:color w:val="6E6158"/>
        </w:rPr>
        <w:t>Arizona Department of Education for overpayment. He has also advised clients on the law</w:t>
      </w:r>
      <w:r>
        <w:rPr>
          <w:color w:val="6E6158"/>
          <w:spacing w:val="40"/>
        </w:rPr>
        <w:t> </w:t>
      </w:r>
      <w:r>
        <w:rPr>
          <w:color w:val="6E6158"/>
        </w:rPr>
        <w:t>governing</w:t>
      </w:r>
      <w:r>
        <w:rPr>
          <w:color w:val="6E6158"/>
          <w:spacing w:val="29"/>
        </w:rPr>
        <w:t> </w:t>
      </w:r>
      <w:r>
        <w:rPr>
          <w:color w:val="6E6158"/>
        </w:rPr>
        <w:t>gambling</w:t>
      </w:r>
      <w:r>
        <w:rPr>
          <w:color w:val="6E6158"/>
          <w:spacing w:val="29"/>
        </w:rPr>
        <w:t> </w:t>
      </w:r>
      <w:r>
        <w:rPr>
          <w:color w:val="6E6158"/>
        </w:rPr>
        <w:t>by</w:t>
      </w:r>
      <w:r>
        <w:rPr>
          <w:color w:val="6E6158"/>
          <w:spacing w:val="29"/>
        </w:rPr>
        <w:t> </w:t>
      </w:r>
      <w:r>
        <w:rPr>
          <w:color w:val="6E6158"/>
        </w:rPr>
        <w:t>Indian</w:t>
      </w:r>
      <w:r>
        <w:rPr>
          <w:color w:val="6E6158"/>
          <w:spacing w:val="29"/>
        </w:rPr>
        <w:t> </w:t>
      </w:r>
      <w:r>
        <w:rPr>
          <w:color w:val="6E6158"/>
        </w:rPr>
        <w:t>tribes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nonprofits,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was</w:t>
      </w:r>
      <w:r>
        <w:rPr>
          <w:color w:val="6E6158"/>
          <w:spacing w:val="29"/>
        </w:rPr>
        <w:t> </w:t>
      </w:r>
      <w:r>
        <w:rPr>
          <w:color w:val="6E6158"/>
        </w:rPr>
        <w:t>recently</w:t>
      </w:r>
      <w:r>
        <w:rPr>
          <w:color w:val="6E6158"/>
          <w:spacing w:val="29"/>
        </w:rPr>
        <w:t> </w:t>
      </w:r>
      <w:r>
        <w:rPr>
          <w:color w:val="6E6158"/>
        </w:rPr>
        <w:t>successful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court action</w:t>
      </w:r>
      <w:r>
        <w:rPr>
          <w:color w:val="6E6158"/>
          <w:spacing w:val="24"/>
        </w:rPr>
        <w:t> </w:t>
      </w:r>
      <w:r>
        <w:rPr>
          <w:color w:val="6E6158"/>
        </w:rPr>
        <w:t>addressing</w:t>
      </w:r>
      <w:r>
        <w:rPr>
          <w:color w:val="6E6158"/>
          <w:spacing w:val="24"/>
        </w:rPr>
        <w:t> </w:t>
      </w:r>
      <w:r>
        <w:rPr>
          <w:color w:val="6E6158"/>
        </w:rPr>
        <w:t>whether</w:t>
      </w:r>
      <w:r>
        <w:rPr>
          <w:color w:val="6E6158"/>
          <w:spacing w:val="24"/>
        </w:rPr>
        <w:t> </w:t>
      </w:r>
      <w:r>
        <w:rPr>
          <w:color w:val="6E6158"/>
        </w:rPr>
        <w:t>certain</w:t>
      </w:r>
      <w:r>
        <w:rPr>
          <w:color w:val="6E6158"/>
          <w:spacing w:val="24"/>
        </w:rPr>
        <w:t> </w:t>
      </w:r>
      <w:r>
        <w:rPr>
          <w:color w:val="6E6158"/>
        </w:rPr>
        <w:t>electronic</w:t>
      </w:r>
      <w:r>
        <w:rPr>
          <w:color w:val="6E6158"/>
          <w:spacing w:val="24"/>
        </w:rPr>
        <w:t> </w:t>
      </w:r>
      <w:r>
        <w:rPr>
          <w:color w:val="6E6158"/>
        </w:rPr>
        <w:t>machines</w:t>
      </w:r>
      <w:r>
        <w:rPr>
          <w:color w:val="6E6158"/>
          <w:spacing w:val="24"/>
        </w:rPr>
        <w:t> </w:t>
      </w:r>
      <w:r>
        <w:rPr>
          <w:color w:val="6E6158"/>
        </w:rPr>
        <w:t>qualified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“raffles”</w:t>
      </w:r>
      <w:r>
        <w:rPr>
          <w:color w:val="6E6158"/>
          <w:spacing w:val="24"/>
        </w:rPr>
        <w:t> </w:t>
      </w:r>
      <w:r>
        <w:rPr>
          <w:color w:val="6E6158"/>
        </w:rPr>
        <w:t>under</w:t>
      </w:r>
      <w:r>
        <w:rPr>
          <w:color w:val="6E6158"/>
          <w:spacing w:val="24"/>
        </w:rPr>
        <w:t> </w:t>
      </w:r>
      <w:r>
        <w:rPr>
          <w:color w:val="6E6158"/>
        </w:rPr>
        <w:t>Arizona</w:t>
      </w:r>
      <w:r>
        <w:rPr>
          <w:color w:val="6E6158"/>
          <w:spacing w:val="24"/>
        </w:rPr>
        <w:t> </w:t>
      </w:r>
      <w:r>
        <w:rPr>
          <w:color w:val="6E6158"/>
        </w:rPr>
        <w:t>law.</w:t>
      </w:r>
    </w:p>
    <w:p>
      <w:pPr>
        <w:pStyle w:val="BodyText"/>
        <w:spacing w:line="295" w:lineRule="auto" w:before="187"/>
        <w:ind w:left="104" w:right="541"/>
      </w:pPr>
      <w:r>
        <w:rPr>
          <w:color w:val="6E6158"/>
        </w:rPr>
        <w:t>Pat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recognized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one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State’s</w:t>
      </w:r>
      <w:r>
        <w:rPr>
          <w:color w:val="6E6158"/>
          <w:spacing w:val="23"/>
        </w:rPr>
        <w:t> </w:t>
      </w:r>
      <w:r>
        <w:rPr>
          <w:color w:val="6E6158"/>
        </w:rPr>
        <w:t>leading</w:t>
      </w:r>
      <w:r>
        <w:rPr>
          <w:color w:val="6E6158"/>
          <w:spacing w:val="23"/>
        </w:rPr>
        <w:t> </w:t>
      </w:r>
      <w:r>
        <w:rPr>
          <w:color w:val="6E6158"/>
        </w:rPr>
        <w:t>state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local</w:t>
      </w:r>
      <w:r>
        <w:rPr>
          <w:color w:val="6E6158"/>
          <w:spacing w:val="23"/>
        </w:rPr>
        <w:t> </w:t>
      </w:r>
      <w:r>
        <w:rPr>
          <w:color w:val="6E6158"/>
        </w:rPr>
        <w:t>tax</w:t>
      </w:r>
      <w:r>
        <w:rPr>
          <w:color w:val="6E6158"/>
          <w:spacing w:val="23"/>
        </w:rPr>
        <w:t> </w:t>
      </w:r>
      <w:r>
        <w:rPr>
          <w:color w:val="6E6158"/>
        </w:rPr>
        <w:t>practitioners.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has</w:t>
      </w:r>
      <w:r>
        <w:rPr>
          <w:color w:val="6E6158"/>
          <w:spacing w:val="23"/>
        </w:rPr>
        <w:t> </w:t>
      </w:r>
      <w:r>
        <w:rPr>
          <w:color w:val="6E6158"/>
        </w:rPr>
        <w:t>a master’s degree in tax law and previously served as the Chief Counsel of the Arizona Attorney</w:t>
      </w:r>
      <w:r>
        <w:rPr>
          <w:color w:val="6E6158"/>
          <w:spacing w:val="40"/>
        </w:rPr>
        <w:t> </w:t>
      </w:r>
      <w:r>
        <w:rPr>
          <w:color w:val="6E6158"/>
        </w:rPr>
        <w:t>General’s Tax Section. He has represented clients in tax controversies before administrative agencies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at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levels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federal</w:t>
      </w:r>
      <w:r>
        <w:rPr>
          <w:color w:val="6E6158"/>
          <w:spacing w:val="27"/>
        </w:rPr>
        <w:t> </w:t>
      </w:r>
      <w:r>
        <w:rPr>
          <w:color w:val="6E6158"/>
        </w:rPr>
        <w:t>courts,</w:t>
      </w:r>
      <w:r>
        <w:rPr>
          <w:color w:val="6E6158"/>
          <w:spacing w:val="27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successful</w:t>
      </w:r>
      <w:r>
        <w:rPr>
          <w:color w:val="6E6158"/>
          <w:spacing w:val="27"/>
        </w:rPr>
        <w:t> </w:t>
      </w:r>
      <w:r>
        <w:rPr>
          <w:color w:val="6E6158"/>
        </w:rPr>
        <w:t>argument before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involving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Indian</w:t>
      </w:r>
      <w:r>
        <w:rPr>
          <w:color w:val="6E6158"/>
          <w:spacing w:val="11"/>
        </w:rPr>
        <w:t> </w:t>
      </w:r>
      <w:r>
        <w:rPr>
          <w:color w:val="6E6158"/>
        </w:rPr>
        <w:t>law.</w:t>
      </w:r>
      <w:r>
        <w:rPr>
          <w:color w:val="6E6158"/>
          <w:spacing w:val="11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has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been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Manager</w:t>
      </w:r>
      <w:r>
        <w:rPr>
          <w:color w:val="6E6158"/>
          <w:spacing w:val="11"/>
        </w:rPr>
        <w:t> </w:t>
      </w:r>
      <w:r>
        <w:rPr>
          <w:color w:val="6E6158"/>
        </w:rPr>
        <w:t>at a leading accounting firm, where he assisted clients with compliance, tax planning and tax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controversies.</w:t>
      </w:r>
    </w:p>
    <w:p>
      <w:pPr>
        <w:pStyle w:val="BodyText"/>
        <w:spacing w:line="292" w:lineRule="auto" w:before="200"/>
        <w:ind w:left="104" w:right="685"/>
      </w:pPr>
      <w:r>
        <w:rPr>
          <w:color w:val="6E6158"/>
        </w:rPr>
        <w:t>He advises public and private clients on fiduciary duties and conflicts of interest, and his</w:t>
      </w:r>
      <w:r>
        <w:rPr>
          <w:color w:val="6E6158"/>
          <w:spacing w:val="40"/>
        </w:rPr>
        <w:t> </w:t>
      </w:r>
      <w:r>
        <w:rPr>
          <w:color w:val="6E6158"/>
        </w:rPr>
        <w:t>experience in ethics and professional responsibility includes service on the Arizona </w:t>
      </w:r>
      <w:r>
        <w:rPr>
          <w:color w:val="6E6158"/>
        </w:rPr>
        <w:t>Supreme</w:t>
      </w:r>
      <w:r>
        <w:rPr>
          <w:color w:val="6E6158"/>
          <w:spacing w:val="40"/>
        </w:rPr>
        <w:t> </w:t>
      </w:r>
      <w:r>
        <w:rPr>
          <w:color w:val="6E6158"/>
        </w:rPr>
        <w:t>Court’s</w:t>
      </w:r>
      <w:r>
        <w:rPr>
          <w:color w:val="6E6158"/>
          <w:spacing w:val="33"/>
        </w:rPr>
        <w:t> </w:t>
      </w:r>
      <w:r>
        <w:rPr>
          <w:color w:val="6E6158"/>
        </w:rPr>
        <w:t>Committee</w:t>
      </w:r>
      <w:r>
        <w:rPr>
          <w:color w:val="6E6158"/>
          <w:spacing w:val="33"/>
        </w:rPr>
        <w:t> </w:t>
      </w:r>
      <w:r>
        <w:rPr>
          <w:color w:val="6E6158"/>
        </w:rPr>
        <w:t>on</w:t>
      </w:r>
      <w:r>
        <w:rPr>
          <w:color w:val="6E6158"/>
          <w:spacing w:val="33"/>
        </w:rPr>
        <w:t> </w:t>
      </w:r>
      <w:r>
        <w:rPr>
          <w:color w:val="6E6158"/>
        </w:rPr>
        <w:t>Character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Fitness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Judicial</w:t>
      </w:r>
      <w:r>
        <w:rPr>
          <w:color w:val="6E6158"/>
          <w:spacing w:val="33"/>
        </w:rPr>
        <w:t> </w:t>
      </w:r>
      <w:r>
        <w:rPr>
          <w:color w:val="6E6158"/>
        </w:rPr>
        <w:t>Ethics</w:t>
      </w:r>
      <w:r>
        <w:rPr>
          <w:color w:val="6E6158"/>
          <w:spacing w:val="33"/>
        </w:rPr>
        <w:t> </w:t>
      </w:r>
      <w:r>
        <w:rPr>
          <w:color w:val="6E6158"/>
        </w:rPr>
        <w:t>Advisory</w:t>
      </w:r>
      <w:r>
        <w:rPr>
          <w:color w:val="6E6158"/>
          <w:spacing w:val="33"/>
        </w:rPr>
        <w:t> </w:t>
      </w:r>
      <w:r>
        <w:rPr>
          <w:color w:val="6E6158"/>
        </w:rPr>
        <w:t>Committee.</w:t>
      </w:r>
    </w:p>
    <w:p>
      <w:pPr>
        <w:pStyle w:val="BodyText"/>
        <w:spacing w:line="292" w:lineRule="auto" w:before="205"/>
        <w:ind w:left="104" w:right="540"/>
      </w:pPr>
      <w:r>
        <w:rPr>
          <w:color w:val="6E6158"/>
        </w:rPr>
        <w:t>For over thirty years Pat has been a frequent speaker, teacher and trainer on legal issues,</w:t>
      </w:r>
      <w:r>
        <w:rPr>
          <w:color w:val="6E6158"/>
          <w:spacing w:val="80"/>
        </w:rPr>
        <w:t> </w:t>
      </w:r>
      <w:r>
        <w:rPr>
          <w:color w:val="6E6158"/>
        </w:rPr>
        <w:t>including nonprofit formation and operation, taxation, open meeting law, mediation, </w:t>
      </w:r>
      <w:r>
        <w:rPr>
          <w:color w:val="6E6158"/>
        </w:rPr>
        <w:t>arbitration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Indian</w:t>
      </w:r>
      <w:r>
        <w:rPr>
          <w:color w:val="6E6158"/>
          <w:spacing w:val="21"/>
        </w:rPr>
        <w:t> </w:t>
      </w:r>
      <w:r>
        <w:rPr>
          <w:color w:val="6E6158"/>
        </w:rPr>
        <w:t>law.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teaching</w:t>
      </w:r>
      <w:r>
        <w:rPr>
          <w:color w:val="6E6158"/>
          <w:spacing w:val="21"/>
        </w:rPr>
        <w:t> </w:t>
      </w:r>
      <w:r>
        <w:rPr>
          <w:color w:val="6E6158"/>
        </w:rPr>
        <w:t>for</w:t>
      </w:r>
      <w:r>
        <w:rPr>
          <w:color w:val="6E6158"/>
          <w:spacing w:val="21"/>
        </w:rPr>
        <w:t> </w:t>
      </w:r>
      <w:r>
        <w:rPr>
          <w:color w:val="6E6158"/>
        </w:rPr>
        <w:t>institutions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higher</w:t>
      </w:r>
      <w:r>
        <w:rPr>
          <w:color w:val="6E6158"/>
          <w:spacing w:val="21"/>
        </w:rPr>
        <w:t> </w:t>
      </w:r>
      <w:r>
        <w:rPr>
          <w:color w:val="6E6158"/>
        </w:rPr>
        <w:t>education</w:t>
      </w:r>
      <w:r>
        <w:rPr>
          <w:color w:val="6E6158"/>
          <w:spacing w:val="21"/>
        </w:rPr>
        <w:t> </w:t>
      </w:r>
      <w:r>
        <w:rPr>
          <w:color w:val="6E6158"/>
        </w:rPr>
        <w:t>has</w:t>
      </w:r>
      <w:r>
        <w:rPr>
          <w:color w:val="6E6158"/>
          <w:spacing w:val="21"/>
        </w:rPr>
        <w:t> </w:t>
      </w:r>
      <w:r>
        <w:rPr>
          <w:color w:val="6E6158"/>
        </w:rPr>
        <w:t>included</w:t>
      </w:r>
      <w:r>
        <w:rPr>
          <w:color w:val="6E6158"/>
          <w:spacing w:val="21"/>
        </w:rPr>
        <w:t> </w:t>
      </w:r>
      <w:r>
        <w:rPr>
          <w:color w:val="6E6158"/>
        </w:rPr>
        <w:t>dozens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sections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104" w:right="685"/>
      </w:pPr>
      <w:r>
        <w:rPr>
          <w:color w:val="6E6158"/>
        </w:rPr>
        <w:t>of business law and public administration, as well as employment law, accounting, taxation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Indian law.</w:t>
      </w:r>
    </w:p>
    <w:p>
      <w:pPr>
        <w:pStyle w:val="BodyText"/>
        <w:spacing w:before="205"/>
        <w:ind w:left="104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work,</w:t>
      </w:r>
      <w:r>
        <w:rPr>
          <w:color w:val="6E6158"/>
          <w:spacing w:val="11"/>
        </w:rPr>
        <w:t> </w:t>
      </w:r>
      <w:r>
        <w:rPr>
          <w:color w:val="6E6158"/>
        </w:rPr>
        <w:t>Pat</w:t>
      </w:r>
      <w:r>
        <w:rPr>
          <w:color w:val="6E6158"/>
          <w:spacing w:val="11"/>
        </w:rPr>
        <w:t> </w:t>
      </w:r>
      <w:r>
        <w:rPr>
          <w:color w:val="6E6158"/>
        </w:rPr>
        <w:t>volunteers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Kiwanis</w:t>
      </w:r>
      <w:r>
        <w:rPr>
          <w:color w:val="6E6158"/>
          <w:spacing w:val="11"/>
        </w:rPr>
        <w:t> </w:t>
      </w:r>
      <w:r>
        <w:rPr>
          <w:color w:val="6E6158"/>
        </w:rPr>
        <w:t>International,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spends</w:t>
      </w:r>
      <w:r>
        <w:rPr>
          <w:color w:val="6E6158"/>
          <w:spacing w:val="11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family.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157880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519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9"/>
        </w:rPr>
        <w:t> </w:t>
      </w:r>
      <w:r>
        <w:rPr>
          <w:color w:val="6E6158"/>
        </w:rPr>
        <w:t>Taxation,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/>
        <w:ind w:right="28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174975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562pt;width:1.65pt;height:1.65pt;mso-position-horizontal-relative:page;mso-position-vertical-relative:paragraph;z-index:15729664" id="docshape8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433340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1311pt;width:1.65pt;height:1.65pt;mso-position-horizontal-relative:page;mso-position-vertical-relative:paragraph;z-index:15730176" id="docshape9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B.S., Arizona State University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63475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093pt;width:1.65pt;height:1.65pt;mso-position-horizontal-relative:page;mso-position-vertical-relative:paragraph;z-index:15730688" id="docshape1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Alumni</w:t>
      </w:r>
      <w:r>
        <w:rPr>
          <w:color w:val="6E6158"/>
          <w:spacing w:val="12"/>
        </w:rPr>
        <w:t> </w:t>
      </w:r>
      <w:r>
        <w:rPr>
          <w:color w:val="6E6158"/>
        </w:rPr>
        <w:t>Hall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Fame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59360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4076pt;width:1.65pt;height:1.65pt;mso-position-horizontal-relative:page;mso-position-vertical-relative:paragraph;z-index:15731200" id="docshape11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line="420" w:lineRule="auto"/>
        <w:ind w:right="7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169800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121pt;width:1.65pt;height:1.65pt;mso-position-horizontal-relative:page;mso-position-vertical-relative:paragraph;z-index:15731712" id="docshape1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433333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743pt;width:1.65pt;height:1.65pt;mso-position-horizontal-relative:page;mso-position-vertical-relative:paragraph;z-index:15732224" id="docshape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691699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4493pt;width:1.65pt;height:1.65pt;mso-position-horizontal-relative:page;mso-position-vertical-relative:paragraph;z-index:15732736" id="docshape14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Indian Law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62963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779pt;width:1.65pt;height:1.65pt;mso-position-horizontal-relative:page;mso-position-vertical-relative:paragraph;z-index:15733248" id="docshape15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Arbitration</w:t>
      </w:r>
    </w:p>
    <w:p>
      <w:pPr>
        <w:pStyle w:val="BodyText"/>
        <w:spacing w:line="420" w:lineRule="auto"/>
        <w:ind w:right="49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175396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71pt;width:1.65pt;height:1.65pt;mso-position-horizontal-relative:page;mso-position-vertical-relative:paragraph;z-index:15733760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433761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461pt;width:1.65pt;height:1.65pt;mso-position-horizontal-relative:page;mso-position-vertical-relative:paragraph;z-index:15734272" id="docshape1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 and Tax-Exempt </w:t>
      </w:r>
      <w:r>
        <w:rPr>
          <w:color w:val="6E6158"/>
        </w:rPr>
        <w:t>Organizations Business &amp; Finance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63896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1238pt;width:1.65pt;height:1.65pt;mso-position-horizontal-relative:page;mso-position-vertical-relative:paragraph;z-index:15734784" id="docshape1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163239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53473pt;width:1.65pt;height:1.65pt;mso-position-horizontal-relative:page;mso-position-vertical-relative:paragraph;z-index:15735296" id="docshape19" coordorigin="1675,257" coordsize="33,33" path="m1696,290l1687,290,1683,288,1676,282,1675,278,1675,269,1676,265,1683,259,1687,257,1696,257,1699,259,1706,265,1707,269,1707,273,1707,278,1706,282,1699,288,1696,2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Appellate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Native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American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183928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2576pt;width:1.65pt;height:1.65pt;mso-position-horizontal-relative:page;mso-position-vertical-relative:paragraph;z-index:15735808" id="docshape20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Administrative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Regulatory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184210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4785pt;width:1.65pt;height:1.65pt;mso-position-horizontal-relative:page;mso-position-vertical-relative:paragraph;z-index:15736320" id="docshape21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Alternative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Dispute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Resolution, 2018-</w:t>
      </w:r>
      <w:r>
        <w:rPr>
          <w:color w:val="6E6158"/>
          <w:spacing w:val="-4"/>
          <w:sz w:val="19"/>
        </w:rPr>
        <w:t>2024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183858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7015pt;width:1.65pt;height:1.65pt;mso-position-horizontal-relative:page;mso-position-vertical-relative:paragraph;z-index:15736832" id="docshape22" coordorigin="1675,290" coordsize="33,33" path="m1696,322l1687,322,1683,321,1676,314,1675,310,1675,301,1676,297,1683,291,1687,290,1696,290,1699,291,1706,297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Southwest 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pacing w:val="-2"/>
          <w:sz w:val="19"/>
        </w:rPr>
        <w:t>Tax,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2015-</w:t>
      </w:r>
      <w:r>
        <w:rPr>
          <w:color w:val="6E6158"/>
          <w:spacing w:val="-4"/>
          <w:sz w:val="19"/>
        </w:rPr>
        <w:t>2017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173893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2375pt;width:1.65pt;height:1.65pt;mso-position-horizontal-relative:page;mso-position-vertical-relative:paragraph;z-index:15737344" id="docshape23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9"/>
        </w:rPr>
        <w:t> </w:t>
      </w:r>
      <w:r>
        <w:rPr>
          <w:color w:val="6E6158"/>
        </w:rPr>
        <w:t>Henry</w:t>
      </w:r>
      <w:r>
        <w:rPr>
          <w:color w:val="6E6158"/>
          <w:spacing w:val="10"/>
        </w:rPr>
        <w:t> </w:t>
      </w:r>
      <w:r>
        <w:rPr>
          <w:color w:val="6E6158"/>
        </w:rPr>
        <w:t>Tom</w:t>
      </w:r>
      <w:r>
        <w:rPr>
          <w:color w:val="6E6158"/>
          <w:spacing w:val="10"/>
        </w:rPr>
        <w:t> </w:t>
      </w:r>
      <w:r>
        <w:rPr>
          <w:color w:val="6E6158"/>
        </w:rPr>
        <w:t>Outstanding</w:t>
      </w:r>
      <w:r>
        <w:rPr>
          <w:color w:val="6E6158"/>
          <w:spacing w:val="10"/>
        </w:rPr>
        <w:t> </w: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</w:rPr>
        <w:t>Attorney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420" w:lineRule="auto"/>
        <w:ind w:right="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175112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414pt;width:1.65pt;height:1.65pt;mso-position-horizontal-relative:page;mso-position-vertical-relative:paragraph;z-index:15737856" id="docshape2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433478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2156pt;width:1.65pt;height:1.65pt;mso-position-horizontal-relative:page;mso-position-vertical-relative:paragraph;z-index:15738368" id="docshape25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Jim Jones Distinguished Service Award, Conference of Western Attorneys General</w:t>
      </w:r>
      <w:r>
        <w:rPr>
          <w:color w:val="6E6158"/>
          <w:spacing w:val="40"/>
        </w:rPr>
        <w:t> </w:t>
      </w:r>
      <w:r>
        <w:rPr>
          <w:color w:val="6E6158"/>
        </w:rPr>
        <w:t>Recipient, Distinguished Public Lawyer Award, State Bar of Arizona</w:t>
      </w:r>
    </w:p>
    <w:p>
      <w:pPr>
        <w:pStyle w:val="BodyText"/>
        <w:spacing w:line="420" w:lineRule="auto" w:before="6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63613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956pt;width:1.65pt;height:1.65pt;mso-position-horizontal-relative:page;mso-position-vertical-relative:paragraph;z-index:15738880" id="docshape2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327146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9571pt;width:1.65pt;height:1.65pt;mso-position-horizontal-relative:page;mso-position-vertical-relative:paragraph;z-index:15739392" id="docshape27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U.S. Supreme Court Best Brief Award, National Association of Attorneys </w:t>
      </w:r>
      <w:r>
        <w:rPr>
          <w:color w:val="6E6158"/>
        </w:rPr>
        <w:t>General Recipient, Counselor of the Year Award, Arizona Attorney General’s Office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250900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5966pt;width:1.65pt;height:1.65pt;mso-position-horizontal-relative:page;mso-position-vertical-relative:paragraph;z-index:15739904" id="docshape28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“Patrick Irvine: Appointed as Vice-Chair of the Committee on Character and Fitness</w:t>
      </w:r>
      <w:r>
        <w:rPr>
          <w:color w:val="6E6158"/>
          <w:spacing w:val="80"/>
        </w:rPr>
        <w:t> </w:t>
      </w:r>
      <w:r>
        <w:rPr>
          <w:color w:val="6E6158"/>
        </w:rPr>
        <w:t>in the Supreme Court of the State of Arizona,” Arizona Courts, February 2023</w:t>
      </w:r>
    </w:p>
    <w:p>
      <w:pPr>
        <w:pStyle w:val="BodyText"/>
        <w:spacing w:line="292" w:lineRule="auto" w:before="113"/>
        <w:ind w:right="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224003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8109pt;width:1.65pt;height:1.65pt;mso-position-horizontal-relative:page;mso-position-vertical-relative:paragraph;z-index:15740416" id="docshape29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“The CARES Act: New Tax Provisions for Charitable Deductions,” Fennemore Client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Alert, March 31, 2020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142687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219pt;width:1.65pt;height:1.65pt;mso-position-horizontal-relative:page;mso-position-vertical-relative:paragraph;z-index:15740928" id="docshape30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“Model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City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Tax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Code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Gets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Proposed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Edits,”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5,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2019</w:t>
        </w:r>
      </w:hyperlink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412" w:lineRule="auto" w:before="88"/>
        <w:ind w:right="1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1440" id="docshape3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1952" id="docshape3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637507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456pt;width:1.65pt;height:1.65pt;mso-position-horizontal-relative:page;mso-position-vertical-relative:paragraph;z-index:15742464" id="docshape33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Interview, “Tribal Tax Jurisdiction and Remote Sales,” The Talking Stick, August 2018</w:t>
        </w:r>
      </w:hyperlink>
      <w:r>
        <w:rPr>
          <w:color w:val="FF8100"/>
        </w:rPr>
        <w:t> </w:t>
      </w:r>
      <w:r>
        <w:rPr>
          <w:color w:val="6E6158"/>
        </w:rPr>
        <w:t>Interview, “Sales Tax for Online Retailers,” </w:t>
      </w:r>
      <w:r>
        <w:rPr>
          <w:i/>
          <w:color w:val="6E6158"/>
          <w:sz w:val="20"/>
        </w:rPr>
        <w:t>Tucson Morning News, </w:t>
      </w:r>
      <w:r>
        <w:rPr>
          <w:color w:val="6E6158"/>
        </w:rPr>
        <w:t>June 29, 2018 Speaker, “ADR Talks,” State Bar of Arizona 2018 Annual Convention, June 28, 2018</w:t>
      </w:r>
    </w:p>
    <w:p>
      <w:pPr>
        <w:pStyle w:val="BodyText"/>
        <w:spacing w:line="292" w:lineRule="auto" w:before="6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156316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08373pt;width:1.65pt;height:1.65pt;mso-position-horizontal-relative:page;mso-position-vertical-relative:paragraph;z-index:15742976" id="docshape34" coordorigin="1675,246" coordsize="33,33" path="m1696,279l1687,279,1683,277,1676,271,1675,267,1675,258,1676,254,1683,248,1687,246,1696,246,1699,248,1706,254,1707,258,1707,262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“501(c)(3) Tax-Exempt Organizations: Do’s and Don’ts,” Kiwanis </w:t>
      </w:r>
      <w:r>
        <w:rPr>
          <w:color w:val="6E6158"/>
        </w:rPr>
        <w:t>International Southwest District Mid-Year Conference, March 2018</w:t>
      </w:r>
    </w:p>
    <w:p>
      <w:pPr>
        <w:pStyle w:val="BodyText"/>
        <w:spacing w:line="302" w:lineRule="auto" w:before="12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235956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224pt;width:1.65pt;height:1.65pt;mso-position-horizontal-relative:page;mso-position-vertical-relative:paragraph;z-index:15743488" id="docshape3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“Sales Tax Issues for Indian Country,” Arizona State University E-Commerce Conference, February 2018</w:t>
      </w:r>
    </w:p>
    <w:p>
      <w:pPr>
        <w:pStyle w:val="BodyText"/>
        <w:spacing w:line="415" w:lineRule="auto" w:before="11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131287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630pt;width:1.65pt;height:1.65pt;mso-position-horizontal-relative:page;mso-position-vertical-relative:paragraph;z-index:15744000" id="docshape36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394820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88253pt;width:1.65pt;height:1.65pt;mso-position-horizontal-relative:page;mso-position-vertical-relative:paragraph;z-index:15744512" id="docshape37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653186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432003pt;width:1.65pt;height:1.65pt;mso-position-horizontal-relative:page;mso-position-vertical-relative:paragraph;z-index:15745024" id="docshape38" coordorigin="1675,1029" coordsize="33,33" path="m1696,1061l1687,1061,1683,1060,1676,1053,1675,1049,1675,1040,1676,1037,1683,1030,1687,1029,1696,1029,1699,1030,1706,1037,1707,1040,1707,1045,1707,1049,1706,1053,1699,1060,1696,10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911552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1.775749pt;width:1.65pt;height:1.65pt;mso-position-horizontal-relative:page;mso-position-vertical-relative:paragraph;z-index:15745536" id="docshape39" coordorigin="1675,1436" coordsize="33,33" path="m1696,1468l1687,1468,1683,1466,1676,1460,1675,1456,1675,1447,1676,1443,1683,1437,1687,1436,1696,1436,1699,1437,1706,1443,1707,1447,1707,1452,1707,1456,1706,1460,1699,1466,1696,14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“Establishing a 501(c)(3) Organization,” National Business Institute, October 2, </w:t>
      </w:r>
      <w:r>
        <w:rPr>
          <w:color w:val="6E6158"/>
        </w:rPr>
        <w:t>2017 Speaker, “Arbitration Talks,” 2017 State Bar of Arizona Annual Convention, June 15, 2017 </w:t>
      </w:r>
      <w:hyperlink r:id="rId14">
        <w:r>
          <w:rPr>
            <w:color w:val="FF8100"/>
          </w:rPr>
          <w:t>Author, “10 Tips for Effective Appellate Advocacy,”</w:t>
        </w:r>
      </w:hyperlink>
      <w:r>
        <w:rPr>
          <w:color w:val="FF8100"/>
        </w:rPr>
        <w:t> </w:t>
      </w:r>
      <w:hyperlink r:id="rId14">
        <w:r>
          <w:rPr>
            <w:i/>
            <w:color w:val="FF8100"/>
            <w:sz w:val="20"/>
          </w:rPr>
          <w:t>Arizona Attorney,</w:t>
        </w:r>
      </w:hyperlink>
      <w:r>
        <w:rPr>
          <w:i/>
          <w:color w:val="FF8100"/>
          <w:sz w:val="20"/>
        </w:rPr>
        <w:t> </w:t>
      </w:r>
      <w:hyperlink r:id="rId14">
        <w:r>
          <w:rPr>
            <w:color w:val="FF8100"/>
          </w:rPr>
          <w:t>July/August 2016</w:t>
        </w:r>
      </w:hyperlink>
      <w:r>
        <w:rPr>
          <w:color w:val="FF8100"/>
        </w:rPr>
        <w:t> </w:t>
      </w:r>
      <w:r>
        <w:rPr>
          <w:color w:val="6E6158"/>
        </w:rPr>
        <w:t>Speaker, “Arbitration Myths and Realities,” State Bar of Arizona Convention, June 2016</w:t>
      </w:r>
    </w:p>
    <w:p>
      <w:pPr>
        <w:pStyle w:val="BodyText"/>
        <w:spacing w:line="292" w:lineRule="auto" w:before="2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154058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130577pt;width:1.65pt;height:1.65pt;mso-position-horizontal-relative:page;mso-position-vertical-relative:paragraph;z-index:15746048" id="docshape40" coordorigin="1675,243" coordsize="33,33" path="m1696,275l1687,275,1683,274,1676,267,1675,263,1675,254,1676,251,1683,244,1687,243,1696,243,1699,244,1706,251,1707,254,1707,259,1707,263,1706,267,1699,274,1696,2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“Open Meeting Law” and “School Finance Issues,” Arizona Charter </w:t>
      </w:r>
      <w:r>
        <w:rPr>
          <w:color w:val="6E6158"/>
        </w:rPr>
        <w:t>School Association, May 2016</w:t>
      </w:r>
    </w:p>
    <w:p>
      <w:pPr>
        <w:pStyle w:val="BodyText"/>
        <w:spacing w:line="302" w:lineRule="auto" w:before="124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236238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427pt;width:1.65pt;height:1.65pt;mso-position-horizontal-relative:page;mso-position-vertical-relative:paragraph;z-index:15746560" id="docshape4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“Discovery Objections Under the New Federal Rules,” U.S. District </w:t>
      </w:r>
      <w:r>
        <w:rPr>
          <w:color w:val="6E6158"/>
        </w:rPr>
        <w:t>Court Conference, March, 2016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157599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442pt;width:1.65pt;height:1.65pt;mso-position-horizontal-relative:page;mso-position-vertical-relative:paragraph;z-index:15747072" id="docshape4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415965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189pt;width:1.65pt;height:1.65pt;mso-position-horizontal-relative:page;mso-position-vertical-relative:paragraph;z-index:15747584" id="docshape4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Ronald McDonald House Charities of Central and Northern </w:t>
      </w:r>
      <w:r>
        <w:rPr>
          <w:color w:val="6E6158"/>
        </w:rPr>
        <w:t>Arizona Member, State Bar of Arizona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63880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973pt;width:1.65pt;height:1.65pt;mso-position-horizontal-relative:page;mso-position-vertical-relative:paragraph;z-index:15748096" id="docshape4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/>
        <w:ind w:right="44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175042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89pt;width:1.65pt;height:1.65pt;mso-position-horizontal-relative:page;mso-position-vertical-relative:paragraph;z-index:15748608" id="docshape4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433408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633pt;width:1.65pt;height:1.65pt;mso-position-horizontal-relative:page;mso-position-vertical-relative:paragraph;z-index:15749120" id="docshape46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Arbitrator, American Arbitration Association Arbitrator, Financial Industry Regulatory </w:t>
      </w:r>
      <w:r>
        <w:rPr>
          <w:color w:val="6E6158"/>
        </w:rPr>
        <w:t>Authority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63543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433pt;width:1.65pt;height:1.65pt;mso-position-horizontal-relative:page;mso-position-vertical-relative:paragraph;z-index:15749632" id="docshape4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Committee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Character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Fitness,</w:t>
      </w:r>
      <w:r>
        <w:rPr>
          <w:color w:val="6E6158"/>
          <w:spacing w:val="12"/>
        </w:rPr>
        <w:t> </w:t>
      </w:r>
      <w:r>
        <w:rPr>
          <w:color w:val="6E6158"/>
        </w:rPr>
        <w:t>appointed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82"/>
      </w:pPr>
      <w:r>
        <w:rPr>
          <w:color w:val="6E6158"/>
          <w:spacing w:val="-2"/>
        </w:rPr>
        <w:t>Kiwanis</w:t>
      </w:r>
    </w:p>
    <w:p>
      <w:pPr>
        <w:pStyle w:val="BodyText"/>
        <w:spacing w:before="52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1378727</wp:posOffset>
                </wp:positionH>
                <wp:positionV relativeFrom="paragraph">
                  <wp:posOffset>97519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67872pt;width:1.65pt;height:1.65pt;mso-position-horizontal-relative:page;mso-position-vertical-relative:paragraph;z-index:15750656" id="docshape48" coordorigin="2171,154" coordsize="33,33" path="m2192,186l2183,186,2179,185,2173,178,2171,174,2171,165,2173,162,2179,155,2183,154,2192,154,2196,155,2202,162,2204,165,2204,170,2204,174,2202,178,2196,185,2192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Advisor,</w:t>
      </w:r>
      <w:r>
        <w:rPr>
          <w:color w:val="6E6158"/>
          <w:spacing w:val="10"/>
        </w:rPr>
        <w:t> </w:t>
      </w:r>
      <w:r>
        <w:rPr>
          <w:color w:val="6E6158"/>
        </w:rPr>
        <w:t>Southwest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Kiwanis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420" w:lineRule="auto"/>
        <w:ind w:left="853" w:right="3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211110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622887pt;width:1.65pt;height:1.65pt;mso-position-horizontal-relative:page;mso-position-vertical-relative:paragraph;z-index:15750144" id="docshape49" coordorigin="1675,332" coordsize="33,33" path="m1696,365l1687,365,1683,363,1676,357,1675,353,1675,344,1676,340,1683,334,1687,332,1696,332,1699,334,1706,340,1707,344,1707,349,1707,353,1706,357,1699,363,1696,3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1378727</wp:posOffset>
                </wp:positionH>
                <wp:positionV relativeFrom="paragraph">
                  <wp:posOffset>174939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774783pt;width:1.65pt;height:1.65pt;mso-position-horizontal-relative:page;mso-position-vertical-relative:paragraph;z-index:15751168" id="docshape50" coordorigin="2171,275" coordsize="33,33" path="m2192,308l2183,308,2179,306,2173,300,2171,296,2171,287,2173,283,2179,277,2183,275,2192,275,2196,277,2202,283,2204,287,2204,292,2204,296,2202,300,2196,306,2192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1378727</wp:posOffset>
                </wp:positionH>
                <wp:positionV relativeFrom="paragraph">
                  <wp:posOffset>433305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34.118526pt;width:1.65pt;height:1.65pt;mso-position-horizontal-relative:page;mso-position-vertical-relative:paragraph;z-index:15751680" id="docshape51" coordorigin="2171,682" coordsize="33,33" path="m2192,715l2183,715,2179,713,2173,707,2171,703,2171,694,2173,690,2179,684,2183,682,2192,682,2196,684,2202,690,2204,694,2204,699,2204,703,2202,707,2196,713,2192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Lieutenant Governor, Kiwanis Southwest </w:t>
      </w:r>
      <w:r>
        <w:rPr>
          <w:color w:val="6E6158"/>
        </w:rPr>
        <w:t>District Past President, Capitol Gateway Kiwanis Club</w:t>
      </w:r>
    </w:p>
    <w:p>
      <w:pPr>
        <w:pStyle w:val="BodyText"/>
        <w:spacing w:before="6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1378727</wp:posOffset>
                </wp:positionH>
                <wp:positionV relativeFrom="paragraph">
                  <wp:posOffset>63440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.995301pt;width:1.65pt;height:1.65pt;mso-position-horizontal-relative:page;mso-position-vertical-relative:paragraph;z-index:15752192" id="docshape52" coordorigin="2171,100" coordsize="33,33" path="m2192,132l2183,132,2179,131,2173,125,2171,121,2171,112,2173,108,2179,101,2183,100,2192,100,2196,101,2202,108,2204,112,2204,116,2204,121,2202,125,2196,131,2192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5"/>
        </w:rPr>
        <w:t> </w:t>
      </w:r>
      <w:r>
        <w:rPr>
          <w:color w:val="6E6158"/>
        </w:rPr>
        <w:t>President,</w:t>
      </w:r>
      <w:r>
        <w:rPr>
          <w:color w:val="6E6158"/>
          <w:spacing w:val="16"/>
        </w:rPr>
        <w:t> </w:t>
      </w:r>
      <w:r>
        <w:rPr>
          <w:color w:val="6E6158"/>
        </w:rPr>
        <w:t>Camelback</w:t>
      </w:r>
      <w:r>
        <w:rPr>
          <w:color w:val="6E6158"/>
          <w:spacing w:val="16"/>
        </w:rPr>
        <w:t> </w:t>
      </w:r>
      <w:r>
        <w:rPr>
          <w:color w:val="6E6158"/>
        </w:rPr>
        <w:t>Kiwanis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175237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211pt;width:1.65pt;height:1.65pt;mso-position-horizontal-relative:page;mso-position-vertical-relative:paragraph;z-index:15752704" id="docshape5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Directors,</w:t>
      </w:r>
      <w:r>
        <w:rPr>
          <w:color w:val="6E6158"/>
          <w:spacing w:val="8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Tax</w:t>
      </w:r>
      <w:r>
        <w:rPr>
          <w:color w:val="6E6158"/>
          <w:spacing w:val="8"/>
        </w:rPr>
        <w:t> </w:t>
      </w:r>
      <w:r>
        <w:rPr>
          <w:color w:val="6E6158"/>
        </w:rPr>
        <w:t>Research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/>
        <w:ind w:right="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175187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273pt;width:1.65pt;height:1.65pt;mso-position-horizontal-relative:page;mso-position-vertical-relative:paragraph;z-index:15753216" id="docshape5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433552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8016pt;width:1.65pt;height:1.65pt;mso-position-horizontal-relative:page;mso-position-vertical-relative:paragraph;z-index:15753728" id="docshape55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Faculty, Arizona State University College of Law, Indian Legal Program, 2006-</w:t>
      </w:r>
      <w:r>
        <w:rPr>
          <w:color w:val="6E6158"/>
        </w:rPr>
        <w:t>present</w:t>
      </w:r>
      <w:r>
        <w:rPr>
          <w:color w:val="6E6158"/>
          <w:spacing w:val="40"/>
        </w:rPr>
        <w:t> </w:t>
      </w:r>
      <w:r>
        <w:rPr>
          <w:color w:val="6E6158"/>
        </w:rPr>
        <w:t>Past Lawyer Representative, Ninth Circuit, U.S. District Court of Arizona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54812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593pt;width:1.65pt;height:1.65pt;mso-position-horizontal-relative:page;mso-position-vertical-relative:paragraph;z-index:15754240" id="docshape56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Civil</w:t>
      </w:r>
      <w:r>
        <w:rPr>
          <w:color w:val="6E6158"/>
          <w:spacing w:val="9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Procedure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420" w:lineRule="auto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175137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318pt;width:1.65pt;height:1.65pt;mso-position-horizontal-relative:page;mso-position-vertical-relative:paragraph;z-index:15754752" id="docshape5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433502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06pt;width:1.65pt;height:1.65pt;mso-position-horizontal-relative:page;mso-position-vertical-relative:paragraph;z-index:15755264" id="docshape5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Executive Council, State Bar of Arizona Alternative Dispute Resolution </w:t>
      </w:r>
      <w:r>
        <w:rPr>
          <w:color w:val="6E6158"/>
        </w:rPr>
        <w:t>Section Past Member and Chair, City of Phoenix Judicial Selection Advisory Board</w:t>
      </w:r>
    </w:p>
    <w:p>
      <w:pPr>
        <w:pStyle w:val="BodyText"/>
        <w:spacing w:line="420" w:lineRule="auto" w:before="6"/>
        <w:ind w:right="3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63637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0837pt;width:1.65pt;height:1.65pt;mso-position-horizontal-relative:page;mso-position-vertical-relative:paragraph;z-index:15755776" id="docshape5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322003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458pt;width:1.65pt;height:1.65pt;mso-position-horizontal-relative:page;mso-position-vertical-relative:paragraph;z-index:15756288" id="docshape60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Chair, State, Tribal &amp; Federal Court </w:t>
      </w:r>
      <w:r>
        <w:rPr>
          <w:color w:val="6E6158"/>
        </w:rPr>
        <w:t>Forum Past Member, Judicial Ethics Advisory Committee</w:t>
      </w:r>
    </w:p>
    <w:p>
      <w:pPr>
        <w:pStyle w:val="BodyText"/>
        <w:spacing w:line="420" w:lineRule="auto" w:before="0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63985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251pt;width:1.65pt;height:1.65pt;mso-position-horizontal-relative:page;mso-position-vertical-relative:paragraph;z-index:15756800" id="docshape61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322351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1994pt;width:1.65pt;height:1.65pt;mso-position-horizontal-relative:page;mso-position-vertical-relative:paragraph;z-index:15757312" id="docshape6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Advisory Committee Member, Phoenix College Tribal Court Advocacy </w:t>
      </w:r>
      <w:r>
        <w:rPr>
          <w:color w:val="6E6158"/>
        </w:rPr>
        <w:t>Program Adjunct Faculty, Phoenix College, 1992-2001; 2015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7824" id="docshape6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Phoenix</w:t>
      </w:r>
      <w:r>
        <w:rPr>
          <w:color w:val="6E6158"/>
          <w:spacing w:val="12"/>
        </w:rPr>
        <w:t> </w:t>
      </w:r>
      <w:r>
        <w:rPr>
          <w:color w:val="6E6158"/>
        </w:rPr>
        <w:t>Museum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History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158100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853pt;width:1.65pt;height:1.65pt;mso-position-horizontal-relative:page;mso-position-vertical-relative:paragraph;z-index:15758336" id="docshape6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416466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603pt;width:1.65pt;height:1.65pt;mso-position-horizontal-relative:page;mso-position-vertical-relative:paragraph;z-index:15758848" id="docshape6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98pt;width:1.65pt;height:1.65pt;mso-position-horizontal-relative:page;mso-position-vertical-relative:paragraph;z-index:15759360" id="docshape66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175195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91pt;width:1.65pt;height:1.65pt;mso-position-horizontal-relative:page;mso-position-vertical-relative:paragraph;z-index:15759872" id="docshape67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175145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956pt;width:1.65pt;height:1.65pt;mso-position-horizontal-relative:page;mso-position-vertical-relative:paragraph;z-index:15760384" id="docshape6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175094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999pt;width:1.65pt;height:1.65pt;mso-position-horizontal-relative:page;mso-position-vertical-relative:paragraph;z-index:15760896" id="docshape6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pirvine@fennemorelaw.com" TargetMode="External"/><Relationship Id="rId11" Type="http://schemas.openxmlformats.org/officeDocument/2006/relationships/hyperlink" Target="https://www.fennemorelaw.com/insights/newsletters/2020/the-cares-act-new-tax-provisions-for-charitable-deductions" TargetMode="External"/><Relationship Id="rId12" Type="http://schemas.openxmlformats.org/officeDocument/2006/relationships/hyperlink" Target="https://www.fennemorelaw.com/insights/newsletters/2019/model-city-tax-code-gets-proposed-edits" TargetMode="External"/><Relationship Id="rId13" Type="http://schemas.openxmlformats.org/officeDocument/2006/relationships/hyperlink" Target="https://soundcloud.com/talkingstick/ilp-talking-stick-tribal-tax-jurisdiction-remote-sales" TargetMode="External"/><Relationship Id="rId14" Type="http://schemas.openxmlformats.org/officeDocument/2006/relationships/hyperlink" Target="http://www.azattorneymag-digital.com/azattorneymag/20160708/?pg=15&amp;pg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2024-12-04T08:11:07Z</dcterms:created>
  <dcterms:modified xsi:type="dcterms:W3CDTF">2024-12-04T08:11:07Z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