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8929" y="1369338"/>
                            <a:ext cx="206184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845" h="320675">
                                <a:moveTo>
                                  <a:pt x="2061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61756" y="320382"/>
                                </a:lnTo>
                                <a:lnTo>
                                  <a:pt x="2061756" y="315214"/>
                                </a:lnTo>
                                <a:close/>
                              </a:path>
                              <a:path w="2061845" h="320675">
                                <a:moveTo>
                                  <a:pt x="2061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61756" y="5168"/>
                                </a:lnTo>
                                <a:lnTo>
                                  <a:pt x="206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6598" y="763308"/>
                            <a:ext cx="20796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BLACK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16598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08749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3176" y="2226505"/>
                            <a:ext cx="14458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pblack@fennemorelaw.com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9152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82;top:2716;width:3247;height:505" id="docshape5" coordorigin="6883,2716" coordsize="3247,505" path="m10130,3213l6883,3213,6883,3221,10130,3221,10130,3213xm10130,2716l6883,2716,6883,2725,10130,2725,1013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9;top:1762;width:3275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BLACK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79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602.916.5400</w:t>
                        </w:r>
                      </w:p>
                    </w:txbxContent>
                  </v:textbox>
                  <w10:wrap type="none"/>
                </v:shape>
                <v:shape style="position:absolute;left:8914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602.916.5600</w:t>
                        </w:r>
                      </w:p>
                    </w:txbxContent>
                  </v:textbox>
                  <w10:wrap type="none"/>
                </v:shape>
                <v:shape style="position:absolute;left:7377;top:4066;width:227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pblack@fennemorelaw.com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BLACK,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z w:val="24"/>
        </w:rPr>
        <w:t>PATRICK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5"/>
          <w:sz w:val="24"/>
        </w:rPr>
        <w:t>J.</w:t>
      </w:r>
    </w:p>
    <w:p>
      <w:pPr>
        <w:pStyle w:val="BodyText"/>
        <w:spacing w:line="297" w:lineRule="auto" w:before="147"/>
        <w:ind w:left="104" w:right="206"/>
      </w:pPr>
      <w:r>
        <w:rPr>
          <w:color w:val="6E6158"/>
        </w:rPr>
        <w:t>Patrick Black is a member of our natural resources, energy and environmental law group, where</w:t>
      </w:r>
      <w:r>
        <w:rPr>
          <w:color w:val="6E6158"/>
          <w:spacing w:val="40"/>
        </w:rPr>
        <w:t> </w:t>
      </w:r>
      <w:r>
        <w:rPr>
          <w:color w:val="6E6158"/>
        </w:rPr>
        <w:t>he focuses primarily on energy and water regulatory matters.</w:t>
      </w:r>
      <w:r>
        <w:rPr>
          <w:color w:val="6E6158"/>
          <w:spacing w:val="80"/>
        </w:rPr>
        <w:t> </w:t>
      </w:r>
      <w:r>
        <w:rPr>
          <w:color w:val="6E6158"/>
        </w:rPr>
        <w:t>Patrick represents large industrial customers, renewable energy developers and water and wastewater utilities in matters before</w:t>
      </w:r>
      <w:r>
        <w:rPr>
          <w:color w:val="6E6158"/>
          <w:spacing w:val="80"/>
        </w:rPr>
        <w:t> </w:t>
      </w:r>
      <w:r>
        <w:rPr>
          <w:color w:val="6E6158"/>
        </w:rPr>
        <w:t>the Arizona Corporation Commission.</w:t>
      </w:r>
      <w:r>
        <w:rPr>
          <w:color w:val="6E6158"/>
          <w:spacing w:val="40"/>
        </w:rPr>
        <w:t> </w:t>
      </w:r>
      <w:r>
        <w:rPr>
          <w:color w:val="6E6158"/>
        </w:rPr>
        <w:t>Patrick also works with commercial and residential</w:t>
      </w:r>
      <w:r>
        <w:rPr>
          <w:color w:val="6E6158"/>
          <w:spacing w:val="40"/>
        </w:rPr>
        <w:t> </w:t>
      </w:r>
      <w:r>
        <w:rPr>
          <w:color w:val="6E6158"/>
        </w:rPr>
        <w:t>developers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securing</w:t>
      </w:r>
      <w:r>
        <w:rPr>
          <w:color w:val="6E6158"/>
          <w:spacing w:val="24"/>
        </w:rPr>
        <w:t> </w:t>
      </w:r>
      <w:r>
        <w:rPr>
          <w:color w:val="6E6158"/>
        </w:rPr>
        <w:t>utility</w:t>
      </w:r>
      <w:r>
        <w:rPr>
          <w:color w:val="6E6158"/>
          <w:spacing w:val="24"/>
        </w:rPr>
        <w:t> </w:t>
      </w:r>
      <w:r>
        <w:rPr>
          <w:color w:val="6E6158"/>
        </w:rPr>
        <w:t>services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end-use</w:t>
      </w:r>
      <w:r>
        <w:rPr>
          <w:color w:val="6E6158"/>
          <w:spacing w:val="24"/>
        </w:rPr>
        <w:t> </w:t>
      </w:r>
      <w:r>
        <w:rPr>
          <w:color w:val="6E6158"/>
        </w:rPr>
        <w:t>customers,</w:t>
      </w:r>
      <w:r>
        <w:rPr>
          <w:color w:val="6E6158"/>
          <w:spacing w:val="24"/>
        </w:rPr>
        <w:t> </w:t>
      </w:r>
      <w:r>
        <w:rPr>
          <w:color w:val="6E6158"/>
        </w:rPr>
        <w:t>including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integration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energy</w:t>
      </w:r>
    </w:p>
    <w:p>
      <w:pPr>
        <w:pStyle w:val="BodyText"/>
        <w:spacing w:line="295" w:lineRule="auto"/>
        <w:ind w:left="104" w:right="46"/>
      </w:pPr>
      <w:r>
        <w:rPr>
          <w:color w:val="6E6158"/>
        </w:rPr>
        <w:t>efficiency, clean tech and emerging technology programs to help combat climate change.</w:t>
      </w:r>
      <w:r>
        <w:rPr>
          <w:color w:val="6E6158"/>
          <w:spacing w:val="80"/>
        </w:rPr>
        <w:t> </w:t>
      </w:r>
      <w:r>
        <w:rPr>
          <w:color w:val="6E6158"/>
        </w:rPr>
        <w:t>He also represents clients before the Arizona Power Plant and Line Siting Committee in the siting of</w:t>
      </w:r>
      <w:r>
        <w:rPr>
          <w:color w:val="6E6158"/>
          <w:spacing w:val="40"/>
        </w:rPr>
        <w:t> </w:t>
      </w:r>
      <w:r>
        <w:rPr>
          <w:color w:val="6E6158"/>
        </w:rPr>
        <w:t>generation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transmission</w:t>
      </w:r>
      <w:r>
        <w:rPr>
          <w:color w:val="6E6158"/>
          <w:spacing w:val="31"/>
        </w:rPr>
        <w:t> </w:t>
      </w:r>
      <w:r>
        <w:rPr>
          <w:color w:val="6E6158"/>
        </w:rPr>
        <w:t>projects</w:t>
      </w:r>
      <w:r>
        <w:rPr>
          <w:color w:val="6E6158"/>
          <w:spacing w:val="31"/>
        </w:rPr>
        <w:t> </w:t>
      </w:r>
      <w:r>
        <w:rPr>
          <w:color w:val="6E6158"/>
        </w:rPr>
        <w:t>throughout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state.</w:t>
      </w:r>
      <w:r>
        <w:rPr>
          <w:color w:val="6E6158"/>
          <w:spacing w:val="80"/>
        </w:rPr>
        <w:t> </w:t>
      </w:r>
      <w:r>
        <w:rPr>
          <w:color w:val="6E6158"/>
        </w:rPr>
        <w:t>Patrick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currently</w:t>
      </w:r>
      <w:r>
        <w:rPr>
          <w:color w:val="6E6158"/>
          <w:spacing w:val="31"/>
        </w:rPr>
        <w:t> </w:t>
      </w:r>
      <w:r>
        <w:rPr>
          <w:color w:val="6E6158"/>
        </w:rPr>
        <w:t>focused</w:t>
      </w:r>
      <w:r>
        <w:rPr>
          <w:color w:val="6E6158"/>
          <w:spacing w:val="31"/>
        </w:rPr>
        <w:t> </w:t>
      </w:r>
      <w:r>
        <w:rPr>
          <w:color w:val="6E6158"/>
        </w:rPr>
        <w:t>on matters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development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wholesale</w:t>
      </w:r>
      <w:r>
        <w:rPr>
          <w:color w:val="6E6158"/>
          <w:spacing w:val="30"/>
        </w:rPr>
        <w:t> </w:t>
      </w:r>
      <w:r>
        <w:rPr>
          <w:color w:val="6E6158"/>
        </w:rPr>
        <w:t>power</w:t>
      </w:r>
      <w:r>
        <w:rPr>
          <w:color w:val="6E6158"/>
          <w:spacing w:val="30"/>
        </w:rPr>
        <w:t> </w:t>
      </w:r>
      <w:r>
        <w:rPr>
          <w:color w:val="6E6158"/>
        </w:rPr>
        <w:t>markets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Arizona,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well</w:t>
      </w:r>
      <w:r>
        <w:rPr>
          <w:color w:val="6E6158"/>
          <w:spacing w:val="30"/>
        </w:rPr>
        <w:t> </w:t>
      </w:r>
      <w:r>
        <w:rPr>
          <w:color w:val="6E6158"/>
        </w:rPr>
        <w:t>as consolidation efforts in the water and wastewater industries to achieve a higher level of quality</w:t>
      </w:r>
      <w:r>
        <w:rPr>
          <w:color w:val="6E6158"/>
          <w:spacing w:val="40"/>
        </w:rPr>
        <w:t> </w:t>
      </w:r>
      <w:r>
        <w:rPr>
          <w:color w:val="6E6158"/>
        </w:rPr>
        <w:t>service for customers in more rural areas of the state.</w:t>
      </w:r>
    </w:p>
    <w:p>
      <w:pPr>
        <w:pStyle w:val="Heading1"/>
        <w:spacing w:before="155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4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157943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482pt;width:1.65pt;height:1.65pt;mso-position-horizontal-relative:page;mso-position-vertical-relative:paragraph;z-index:15729664" id="docshape11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416309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251pt;width:1.65pt;height:1.65pt;mso-position-horizontal-relative:page;mso-position-vertical-relative:paragraph;z-index:15730176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B.S., Santa Clara University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56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59688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9875pt;width:1.65pt;height:1.65pt;mso-position-horizontal-relative:page;mso-position-vertical-relative:paragraph;z-index:15730688" id="docshape1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323221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0489pt;width:1.65pt;height:1.65pt;mso-position-horizontal-relative:page;mso-position-vertical-relative:paragraph;z-index:15731200" id="docshape14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Natural Resources</w:t>
      </w:r>
    </w:p>
    <w:p>
      <w:pPr>
        <w:pStyle w:val="BodyText"/>
        <w:spacing w:line="231" w:lineRule="exact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63846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265pt;width:1.65pt;height:1.65pt;mso-position-horizontal-relative:page;mso-position-vertical-relative:paragraph;z-index:15731712" id="docshape15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2" w:lineRule="auto" w:before="174"/>
        <w:ind w:left="356" w:right="56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175295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795pt;width:1.65pt;height:1.65pt;mso-position-horizontal-relative:page;mso-position-vertical-relative:paragraph;z-index:15732224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345816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229666pt;width:1.65pt;height:1.65pt;mso-position-horizontal-relative:page;mso-position-vertical-relative:paragraph;z-index:15732736" id="docshape17" coordorigin="1675,545" coordsize="33,33" path="m1696,577l1687,577,1683,576,1676,569,1675,565,1675,556,1676,553,1683,546,1687,545,1696,545,1699,546,1706,553,1707,556,1707,561,1707,565,1706,569,1699,576,1696,5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433661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538pt;width:1.65pt;height:1.65pt;mso-position-horizontal-relative:page;mso-position-vertical-relative:paragraph;z-index:15733248" id="docshape18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697193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97152pt;width:1.65pt;height:1.65pt;mso-position-horizontal-relative:page;mso-position-vertical-relative:paragraph;z-index:15733760" id="docshape19" coordorigin="1675,1098" coordsize="33,33" path="m1696,1130l1687,1130,1683,1129,1676,1123,1675,1119,1675,1110,1676,1106,1683,1100,1687,1098,1696,1098,1699,1100,1706,1106,1707,1110,1707,1114,1707,1119,1706,1123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Technologies Government Relations &amp; </w:t>
      </w:r>
      <w:r>
        <w:rPr>
          <w:color w:val="6E6158"/>
        </w:rPr>
        <w:t>Regulatory Advanced Energy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2"/>
        <w:spacing w:line="285" w:lineRule="auto" w:before="137"/>
      </w:pPr>
      <w:r>
        <w:rPr>
          <w:i/>
          <w:color w:val="6E6158"/>
        </w:rPr>
        <w:t>In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Matter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Application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Tucson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Electric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Power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Company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for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Certificate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color w:val="6E6158"/>
        </w:rPr>
        <w:t> </w:t>
      </w:r>
      <w:r>
        <w:rPr>
          <w:color w:val="6E6158"/>
          <w:spacing w:val="-2"/>
        </w:rPr>
        <w:t>Environmental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Compatibility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Authorizing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the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Construction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of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138kV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Transmission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Line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and</w:t>
      </w:r>
    </w:p>
    <w:p>
      <w:pPr>
        <w:pStyle w:val="BodyText"/>
        <w:spacing w:line="47" w:lineRule="exact"/>
        <w:ind w:left="234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20955" cy="30480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0955" cy="30480"/>
                          <a:chExt cx="20955" cy="304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0" y="3"/>
                            <a:ext cx="2095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0480">
                                <a:moveTo>
                                  <a:pt x="20675" y="28740"/>
                                </a:moveTo>
                                <a:lnTo>
                                  <a:pt x="0" y="28740"/>
                                </a:lnTo>
                                <a:lnTo>
                                  <a:pt x="0" y="29870"/>
                                </a:lnTo>
                                <a:lnTo>
                                  <a:pt x="20675" y="29870"/>
                                </a:lnTo>
                                <a:lnTo>
                                  <a:pt x="20675" y="28740"/>
                                </a:lnTo>
                                <a:close/>
                              </a:path>
                              <a:path w="20955" h="30480">
                                <a:moveTo>
                                  <a:pt x="20675" y="6667"/>
                                </a:moveTo>
                                <a:lnTo>
                                  <a:pt x="19659" y="4495"/>
                                </a:lnTo>
                                <a:lnTo>
                                  <a:pt x="15633" y="901"/>
                                </a:lnTo>
                                <a:lnTo>
                                  <a:pt x="13195" y="0"/>
                                </a:lnTo>
                                <a:lnTo>
                                  <a:pt x="7480" y="0"/>
                                </a:lnTo>
                                <a:lnTo>
                                  <a:pt x="5054" y="901"/>
                                </a:lnTo>
                                <a:lnTo>
                                  <a:pt x="1016" y="4495"/>
                                </a:lnTo>
                                <a:lnTo>
                                  <a:pt x="0" y="6667"/>
                                </a:lnTo>
                                <a:lnTo>
                                  <a:pt x="0" y="20675"/>
                                </a:lnTo>
                                <a:lnTo>
                                  <a:pt x="20675" y="20675"/>
                                </a:lnTo>
                                <a:lnTo>
                                  <a:pt x="20675" y="6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2.4pt;mso-position-horizontal-relative:char;mso-position-vertical-relative:line" id="docshapegroup20" coordorigin="0,0" coordsize="33,48">
                <v:shape style="position:absolute;left:-1;top:0;width:33;height:48" id="docshape21" coordorigin="0,0" coordsize="33,48" path="m33,45l0,45,0,47,33,47,33,45xm33,11l31,7,25,1,21,0,12,0,8,1,2,7,0,11,0,33,33,33,33,11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spacing w:after="0" w:line="47" w:lineRule="exact"/>
        <w:rPr>
          <w:position w:val="0"/>
          <w:sz w:val="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9"/>
        <w:rPr>
          <w:i/>
          <w:sz w:val="4"/>
        </w:rPr>
      </w:pPr>
    </w:p>
    <w:p>
      <w:pPr>
        <w:pStyle w:val="BodyText"/>
        <w:spacing w:line="20" w:lineRule="exact"/>
        <w:ind w:left="23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955" cy="571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0955" cy="5715"/>
                          <a:chExt cx="20955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09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715">
                                <a:moveTo>
                                  <a:pt x="13188" y="5167"/>
                                </a:moveTo>
                                <a:lnTo>
                                  <a:pt x="7480" y="5167"/>
                                </a:lnTo>
                                <a:lnTo>
                                  <a:pt x="5044" y="5056"/>
                                </a:lnTo>
                                <a:lnTo>
                                  <a:pt x="1008" y="4615"/>
                                </a:lnTo>
                                <a:lnTo>
                                  <a:pt x="0" y="4349"/>
                                </a:lnTo>
                                <a:lnTo>
                                  <a:pt x="0" y="4036"/>
                                </a:lnTo>
                                <a:lnTo>
                                  <a:pt x="0" y="0"/>
                                </a:lnTo>
                                <a:lnTo>
                                  <a:pt x="20669" y="0"/>
                                </a:lnTo>
                                <a:lnTo>
                                  <a:pt x="20669" y="4349"/>
                                </a:lnTo>
                                <a:lnTo>
                                  <a:pt x="19660" y="4615"/>
                                </a:lnTo>
                                <a:lnTo>
                                  <a:pt x="15624" y="5056"/>
                                </a:lnTo>
                                <a:lnTo>
                                  <a:pt x="13188" y="5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.45pt;mso-position-horizontal-relative:char;mso-position-vertical-relative:line" id="docshapegroup22" coordorigin="0,0" coordsize="33,9">
                <v:shape style="position:absolute;left:0;top:0;width:33;height:9" id="docshape23" coordorigin="0,0" coordsize="33,9" path="m21,8l12,8,8,8,2,7,0,7,0,6,0,0,33,0,33,7,31,7,25,8,21,8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88" w:lineRule="auto" w:before="0"/>
        <w:ind w:left="356" w:right="206" w:firstLine="0"/>
        <w:jc w:val="left"/>
        <w:rPr>
          <w:sz w:val="19"/>
        </w:rPr>
      </w:pPr>
      <w:r>
        <w:rPr>
          <w:i/>
          <w:color w:val="6E6158"/>
          <w:sz w:val="20"/>
        </w:rPr>
        <w:t>Associated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Facility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Serve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Rosemont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Copper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Project</w:t>
      </w:r>
      <w:r>
        <w:rPr>
          <w:color w:val="6E6158"/>
          <w:sz w:val="19"/>
        </w:rPr>
        <w:t>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Docket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No.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L-00000C-11-0400- </w:t>
      </w:r>
      <w:r>
        <w:rPr>
          <w:color w:val="6E6158"/>
          <w:spacing w:val="-2"/>
          <w:sz w:val="19"/>
        </w:rPr>
        <w:t>00164.</w:t>
      </w:r>
    </w:p>
    <w:p>
      <w:pPr>
        <w:spacing w:line="283" w:lineRule="auto"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326932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2731pt;width:1.65pt;height:1.65pt;mso-position-horizontal-relative:page;mso-position-vertical-relative:paragraph;z-index:15735296" id="docshape24" coordorigin="1675,515" coordsize="33,33" path="m1696,547l1687,547,1683,546,1676,539,1675,536,1675,527,1676,523,1683,516,1687,515,1696,515,1699,516,1706,523,1707,527,1707,531,1707,536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Matter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Southern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Edison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Certificate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Compatibility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Construct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500kv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transmission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line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from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Palo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Verde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Devers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II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substation. </w:t>
      </w:r>
      <w:r>
        <w:rPr>
          <w:color w:val="6E6158"/>
          <w:sz w:val="19"/>
        </w:rPr>
        <w:t>Case No. 130 (Docket No. E-00000A-06-0295-00130). Decision No. 69638.</w:t>
      </w:r>
    </w:p>
    <w:p>
      <w:pPr>
        <w:pStyle w:val="Heading2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1063521</wp:posOffset>
                </wp:positionH>
                <wp:positionV relativeFrom="paragraph">
                  <wp:posOffset>242291</wp:posOffset>
                </wp:positionV>
                <wp:extent cx="20955" cy="2095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8087pt;width:1.65pt;height:1.65pt;mso-position-horizontal-relative:page;mso-position-vertical-relative:paragraph;z-index:-15722496;mso-wrap-distance-left:0;mso-wrap-distance-right:0" id="docshape25" coordorigin="1675,382" coordsize="33,33" path="m1696,414l1687,414,1683,413,1676,406,1675,402,1675,393,1676,390,1683,383,1687,382,1696,382,1699,383,1706,390,1707,393,1707,398,1707,402,1706,406,1699,413,1696,41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/>
          <w:color w:val="6E6158"/>
          <w:spacing w:val="-2"/>
        </w:rPr>
        <w:t>In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Matter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Proposed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Rulemaking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for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Renewable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Energy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Standard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and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Tariff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Rules,</w:t>
      </w:r>
    </w:p>
    <w:p>
      <w:pPr>
        <w:pStyle w:val="BodyText"/>
        <w:spacing w:before="12"/>
        <w:ind w:left="356"/>
      </w:pPr>
      <w:r>
        <w:rPr>
          <w:color w:val="6E6158"/>
        </w:rPr>
        <w:t>Docket</w:t>
      </w:r>
      <w:r>
        <w:rPr>
          <w:color w:val="6E6158"/>
          <w:spacing w:val="16"/>
        </w:rPr>
        <w:t> </w:t>
      </w:r>
      <w:r>
        <w:rPr>
          <w:color w:val="6E6158"/>
        </w:rPr>
        <w:t>No.</w:t>
      </w:r>
      <w:r>
        <w:rPr>
          <w:color w:val="6E6158"/>
          <w:spacing w:val="16"/>
        </w:rPr>
        <w:t> </w:t>
      </w:r>
      <w:r>
        <w:rPr>
          <w:color w:val="6E6158"/>
        </w:rPr>
        <w:t>RE-00000C-05-0030.</w:t>
      </w:r>
      <w:r>
        <w:rPr>
          <w:color w:val="6E6158"/>
          <w:spacing w:val="17"/>
        </w:rPr>
        <w:t> </w:t>
      </w:r>
      <w:r>
        <w:rPr>
          <w:color w:val="6E6158"/>
        </w:rPr>
        <w:t>Decision</w:t>
      </w:r>
      <w:r>
        <w:rPr>
          <w:color w:val="6E6158"/>
          <w:spacing w:val="16"/>
        </w:rPr>
        <w:t> </w:t>
      </w:r>
      <w:r>
        <w:rPr>
          <w:color w:val="6E6158"/>
        </w:rPr>
        <w:t>No.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69127.</w:t>
      </w:r>
    </w:p>
    <w:p>
      <w:pPr>
        <w:pStyle w:val="Heading2"/>
        <w:spacing w:line="280" w:lineRule="auto" w:before="164"/>
        <w:ind w:right="46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536873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7354pt;width:1.65pt;height:1.65pt;mso-position-horizontal-relative:page;mso-position-vertical-relative:paragraph;z-index:15735808" id="docshape26" coordorigin="1675,845" coordsize="33,33" path="m1696,878l1687,878,1683,876,1676,870,1675,866,1675,857,1676,853,1683,847,1687,845,1696,845,1699,847,1706,853,1707,857,1707,862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</w:rPr>
        <w:t>In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Matter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Application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Arizona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Public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Service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Company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to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Determine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Fair</w:t>
      </w:r>
      <w:r>
        <w:rPr>
          <w:color w:val="6E6158"/>
        </w:rPr>
        <w:t> Value</w:t>
      </w:r>
      <w:r>
        <w:rPr>
          <w:color w:val="6E6158"/>
          <w:spacing w:val="-5"/>
        </w:rPr>
        <w:t> </w:t>
      </w:r>
      <w:r>
        <w:rPr>
          <w:color w:val="6E6158"/>
        </w:rPr>
        <w:t>of</w:t>
      </w:r>
      <w:r>
        <w:rPr>
          <w:color w:val="6E6158"/>
          <w:spacing w:val="-5"/>
        </w:rPr>
        <w:t> </w:t>
      </w:r>
      <w:r>
        <w:rPr>
          <w:color w:val="6E6158"/>
        </w:rPr>
        <w:t>Utility</w:t>
      </w:r>
      <w:r>
        <w:rPr>
          <w:color w:val="6E6158"/>
          <w:spacing w:val="-5"/>
        </w:rPr>
        <w:t> </w:t>
      </w:r>
      <w:r>
        <w:rPr>
          <w:color w:val="6E6158"/>
        </w:rPr>
        <w:t>Property</w:t>
      </w:r>
      <w:r>
        <w:rPr>
          <w:color w:val="6E6158"/>
          <w:spacing w:val="-5"/>
        </w:rPr>
        <w:t> </w:t>
      </w:r>
      <w:r>
        <w:rPr>
          <w:color w:val="6E6158"/>
        </w:rPr>
        <w:t>of</w:t>
      </w:r>
      <w:r>
        <w:rPr>
          <w:color w:val="6E6158"/>
          <w:spacing w:val="-5"/>
        </w:rPr>
        <w:t> </w:t>
      </w:r>
      <w:r>
        <w:rPr>
          <w:color w:val="6E6158"/>
        </w:rPr>
        <w:t>the</w:t>
      </w:r>
      <w:r>
        <w:rPr>
          <w:color w:val="6E6158"/>
          <w:spacing w:val="-5"/>
        </w:rPr>
        <w:t> </w:t>
      </w:r>
      <w:r>
        <w:rPr>
          <w:color w:val="6E6158"/>
        </w:rPr>
        <w:t>Company</w:t>
      </w:r>
      <w:r>
        <w:rPr>
          <w:color w:val="6E6158"/>
          <w:spacing w:val="-5"/>
        </w:rPr>
        <w:t> </w:t>
      </w:r>
      <w:r>
        <w:rPr>
          <w:color w:val="6E6158"/>
        </w:rPr>
        <w:t>for</w:t>
      </w:r>
      <w:r>
        <w:rPr>
          <w:color w:val="6E6158"/>
          <w:spacing w:val="-5"/>
        </w:rPr>
        <w:t> </w:t>
      </w:r>
      <w:r>
        <w:rPr>
          <w:color w:val="6E6158"/>
        </w:rPr>
        <w:t>Ratemaking</w:t>
      </w:r>
      <w:r>
        <w:rPr>
          <w:color w:val="6E6158"/>
          <w:spacing w:val="-5"/>
        </w:rPr>
        <w:t> </w:t>
      </w:r>
      <w:r>
        <w:rPr>
          <w:color w:val="6E6158"/>
        </w:rPr>
        <w:t>Purposes,</w:t>
      </w:r>
      <w:r>
        <w:rPr>
          <w:color w:val="6E6158"/>
          <w:spacing w:val="-5"/>
        </w:rPr>
        <w:t> </w:t>
      </w:r>
      <w:r>
        <w:rPr>
          <w:color w:val="6E6158"/>
        </w:rPr>
        <w:t>to</w:t>
      </w:r>
      <w:r>
        <w:rPr>
          <w:color w:val="6E6158"/>
          <w:spacing w:val="-5"/>
        </w:rPr>
        <w:t> </w:t>
      </w:r>
      <w:r>
        <w:rPr>
          <w:color w:val="6E6158"/>
        </w:rPr>
        <w:t>Fix</w:t>
      </w:r>
      <w:r>
        <w:rPr>
          <w:color w:val="6E6158"/>
          <w:spacing w:val="-5"/>
        </w:rPr>
        <w:t> </w:t>
      </w:r>
      <w:r>
        <w:rPr>
          <w:color w:val="6E6158"/>
        </w:rPr>
        <w:t>a</w:t>
      </w:r>
      <w:r>
        <w:rPr>
          <w:color w:val="6E6158"/>
          <w:spacing w:val="-5"/>
        </w:rPr>
        <w:t> </w:t>
      </w:r>
      <w:r>
        <w:rPr>
          <w:color w:val="6E6158"/>
        </w:rPr>
        <w:t>Just</w:t>
      </w:r>
      <w:r>
        <w:rPr>
          <w:color w:val="6E6158"/>
          <w:spacing w:val="-5"/>
        </w:rPr>
        <w:t> </w:t>
      </w:r>
      <w:r>
        <w:rPr>
          <w:color w:val="6E6158"/>
        </w:rPr>
        <w:t>and </w:t>
      </w:r>
      <w:r>
        <w:rPr>
          <w:color w:val="6E6158"/>
          <w:spacing w:val="-2"/>
        </w:rPr>
        <w:t>Reasonable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Rate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of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Return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Thereon,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to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Approve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Rate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Schedules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Designed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to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Develop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Such </w:t>
      </w:r>
      <w:r>
        <w:rPr>
          <w:color w:val="6E6158"/>
        </w:rPr>
        <w:t>Return, and for Approval of a Power Purchase Contract. </w:t>
      </w:r>
      <w:r>
        <w:rPr>
          <w:i w:val="0"/>
          <w:color w:val="6E6158"/>
          <w:sz w:val="19"/>
        </w:rPr>
        <w:t>Docket No. E-01345A-03-0437.</w:t>
      </w:r>
    </w:p>
    <w:p>
      <w:pPr>
        <w:pStyle w:val="BodyText"/>
        <w:spacing w:before="10"/>
        <w:ind w:left="356"/>
      </w:pPr>
      <w:r>
        <w:rPr>
          <w:color w:val="6E6158"/>
        </w:rPr>
        <w:t>Decision</w:t>
      </w:r>
      <w:r>
        <w:rPr>
          <w:color w:val="6E6158"/>
          <w:spacing w:val="11"/>
        </w:rPr>
        <w:t> </w:t>
      </w:r>
      <w:r>
        <w:rPr>
          <w:color w:val="6E6158"/>
        </w:rPr>
        <w:t>No.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67744.</w:t>
      </w:r>
    </w:p>
    <w:p>
      <w:pPr>
        <w:spacing w:line="283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355829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8061pt;width:1.65pt;height:1.65pt;mso-position-horizontal-relative:page;mso-position-vertical-relative:paragraph;z-index:15736320" id="docshape27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Matter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Salt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Project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Improvement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District,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al.,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for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Certificate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Environmental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Compatibility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Construct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500kv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transmission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line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Pinal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Southeast Valley/Browning substations, </w:t>
      </w:r>
      <w:r>
        <w:rPr>
          <w:color w:val="6E6158"/>
          <w:sz w:val="19"/>
        </w:rPr>
        <w:t>Docket No. L-00000B-04-0126. Decision No. 68093.</w:t>
      </w:r>
    </w:p>
    <w:p>
      <w:pPr>
        <w:pStyle w:val="Heading1"/>
        <w:spacing w:before="16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3" w:lineRule="auto" w:before="140"/>
        <w:ind w:left="356" w:right="49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168437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2766pt;width:1.65pt;height:1.65pt;mso-position-horizontal-relative:page;mso-position-vertical-relative:paragraph;z-index:15736832" id="docshape2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437137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20265pt;width:1.65pt;height:1.65pt;mso-position-horizontal-relative:page;mso-position-vertical-relative:paragraph;z-index:15737344" id="docshape29" coordorigin="1675,688" coordsize="33,33" path="m1696,721l1687,721,1683,719,1676,713,1675,709,1675,700,1676,696,1683,690,1687,688,1696,688,1699,690,1706,696,1707,700,1707,705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695502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64015pt;width:1.65pt;height:1.65pt;mso-position-horizontal-relative:page;mso-position-vertical-relative:paragraph;z-index:15737856" id="docshape30" coordorigin="1675,1095" coordsize="33,33" path="m1696,1128l1687,1128,1683,1126,1676,1120,1675,1116,1675,1107,1676,1103,1683,1097,1687,1095,1696,1095,1699,1097,1706,1103,1707,1107,1707,1112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Energy Law, Energy Regulatory Law, Utilities Law, 2013-2025 Fennemore Craig Ranked #1 for Renewable Energy by </w:t>
      </w:r>
      <w:r>
        <w:rPr>
          <w:i/>
          <w:color w:val="6E6158"/>
          <w:sz w:val="20"/>
        </w:rPr>
        <w:t>Ranking Arizona, </w:t>
      </w:r>
      <w:r>
        <w:rPr>
          <w:color w:val="6E6158"/>
          <w:sz w:val="19"/>
        </w:rPr>
        <w:t>2015-2016 </w:t>
      </w:r>
      <w:r>
        <w:rPr>
          <w:i/>
          <w:color w:val="6E6158"/>
          <w:sz w:val="20"/>
        </w:rPr>
        <w:t>Arizona’s Top Lawyers, AZ Business Magazine, </w:t>
      </w:r>
      <w:r>
        <w:rPr>
          <w:color w:val="6E6158"/>
          <w:sz w:val="19"/>
        </w:rPr>
        <w:t>2013</w:t>
      </w:r>
    </w:p>
    <w:p>
      <w:pPr>
        <w:pStyle w:val="Heading1"/>
        <w:spacing w:before="16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4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245680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4946pt;width:1.65pt;height:1.65pt;mso-position-horizontal-relative:page;mso-position-vertical-relative:paragraph;z-index:15738368" id="docshape31" coordorigin="1675,387" coordsize="33,33" path="m1696,419l1687,419,1683,418,1676,412,1675,408,1675,399,1676,395,1683,388,1687,387,1696,387,1699,388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“Supervisors approve franchises for rebuilding older water </w:t>
      </w:r>
      <w:r>
        <w:rPr>
          <w:color w:val="6E6158"/>
        </w:rPr>
        <w:t>systems,” ParkerPioneer.net, May 23, 2022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152881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91pt;width:1.65pt;height:1.65pt;mso-position-horizontal-relative:page;mso-position-vertical-relative:paragraph;z-index:15738880" id="docshape3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74"/>
        <w:ind w:left="356" w:right="2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262987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7691pt;width:1.65pt;height:1.65pt;mso-position-horizontal-relative:page;mso-position-vertical-relative:paragraph;z-index:15739392" id="docshape3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Asian American Bar Association 2006-Present (President 2006, Board 2005- </w:t>
      </w:r>
      <w:r>
        <w:rPr>
          <w:color w:val="6E6158"/>
          <w:spacing w:val="-2"/>
        </w:rPr>
        <w:t>2011)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142935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801pt;width:1.65pt;height:1.65pt;mso-position-horizontal-relative:page;mso-position-vertical-relative:paragraph;z-index:15739904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82"/>
        <w:ind w:left="356" w:right="1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175270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839pt;width:1.65pt;height:1.65pt;mso-position-horizontal-relative:page;mso-position-vertical-relative:paragraph;z-index:15740416" id="docshape3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438803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1453pt;width:1.65pt;height:1.65pt;mso-position-horizontal-relative:page;mso-position-vertical-relative:paragraph;z-index:15740928" id="docshape36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Governor Brewer’s Solar Task Force, Transmission </w:t>
      </w:r>
      <w:r>
        <w:rPr>
          <w:color w:val="6E6158"/>
        </w:rPr>
        <w:t>Subcommittee Member, Governor Napolitano’s Asian-American Advisory Council</w:t>
      </w:r>
    </w:p>
    <w:p>
      <w:pPr>
        <w:pStyle w:val="BodyText"/>
        <w:spacing w:line="29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151703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45126pt;width:1.65pt;height:1.65pt;mso-position-horizontal-relative:page;mso-position-vertical-relative:paragraph;z-index:15741440" id="docshape37" coordorigin="1675,239" coordsize="33,33" path="m1696,271l1687,271,1683,270,1676,264,1675,260,1675,251,1676,247,1683,240,1687,239,1696,239,1699,240,1706,247,1707,251,1707,255,1707,260,1706,264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Chairman, Thomas Tang Scholarship Committee for the Arizona Asian American Bar</w:t>
      </w:r>
      <w:r>
        <w:rPr>
          <w:color w:val="6E6158"/>
          <w:spacing w:val="40"/>
        </w:rPr>
        <w:t> </w:t>
      </w:r>
      <w:r>
        <w:rPr>
          <w:color w:val="6E6158"/>
        </w:rPr>
        <w:t>Association, 2003-2005</w:t>
      </w:r>
    </w:p>
    <w:p>
      <w:pPr>
        <w:pStyle w:val="Heading1"/>
        <w:spacing w:before="29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088pt;width:1.65pt;height:1.65pt;mso-position-horizontal-relative:page;mso-position-vertical-relative:paragraph;z-index:15741952" id="docshape3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3"/>
      <w:ind w:left="356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pbla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2024-12-04T08:08:25Z</dcterms:created>
  <dcterms:modified xsi:type="dcterms:W3CDTF">2024-12-04T08:08:25Z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