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88806" y="763308"/>
                            <a:ext cx="133477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ROBERT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TOOKOIAN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71088" y="2500373"/>
                            <a:ext cx="15703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rtookoian@fennemorelaw.com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65;top:1762;width:210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ROBERT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TOOKOIAN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79;top:4497;width:247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rtookoian@fennemorelaw.com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002E6B"/>
        </w:rPr>
        <w:t>ROBERT</w:t>
      </w:r>
      <w:r>
        <w:rPr>
          <w:color w:val="002E6B"/>
          <w:spacing w:val="6"/>
        </w:rPr>
        <w:t> </w:t>
      </w:r>
      <w:r>
        <w:rPr>
          <w:color w:val="002E6B"/>
        </w:rPr>
        <w:t>D.</w:t>
      </w:r>
      <w:r>
        <w:rPr>
          <w:color w:val="002E6B"/>
          <w:spacing w:val="6"/>
        </w:rPr>
        <w:t> </w:t>
      </w:r>
      <w:r>
        <w:rPr>
          <w:color w:val="002E6B"/>
          <w:spacing w:val="-2"/>
        </w:rPr>
        <w:t>TOOKOIAN</w:t>
      </w:r>
    </w:p>
    <w:p>
      <w:pPr>
        <w:pStyle w:val="BodyText"/>
        <w:spacing w:before="146"/>
        <w:ind w:left="104"/>
      </w:pPr>
      <w:r>
        <w:rPr>
          <w:color w:val="6E6158"/>
        </w:rPr>
        <w:t>Rob</w:t>
      </w:r>
      <w:r>
        <w:rPr>
          <w:color w:val="6E6158"/>
          <w:spacing w:val="12"/>
        </w:rPr>
        <w:t> </w:t>
      </w:r>
      <w:r>
        <w:rPr>
          <w:color w:val="6E6158"/>
        </w:rPr>
        <w:t>represents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broad</w:t>
      </w:r>
      <w:r>
        <w:rPr>
          <w:color w:val="6E6158"/>
          <w:spacing w:val="12"/>
        </w:rPr>
        <w:t> </w:t>
      </w:r>
      <w:r>
        <w:rPr>
          <w:color w:val="6E6158"/>
        </w:rPr>
        <w:t>range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transactions,</w:t>
      </w:r>
      <w:r>
        <w:rPr>
          <w:color w:val="6E6158"/>
          <w:spacing w:val="13"/>
        </w:rPr>
        <w:t> </w:t>
      </w:r>
      <w:r>
        <w:rPr>
          <w:color w:val="6E6158"/>
        </w:rPr>
        <w:t>contracts,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privacy</w:t>
      </w:r>
    </w:p>
    <w:p>
      <w:pPr>
        <w:pStyle w:val="BodyText"/>
        <w:spacing w:line="292" w:lineRule="auto" w:before="60"/>
        <w:ind w:left="104" w:right="194"/>
      </w:pPr>
      <w:r>
        <w:rPr>
          <w:color w:val="6E6158"/>
        </w:rPr>
        <w:t>compliance, real estate transactions and employment law. His diverse and extensive legal and</w:t>
      </w:r>
      <w:r>
        <w:rPr>
          <w:color w:val="6E6158"/>
          <w:spacing w:val="40"/>
        </w:rPr>
        <w:t> </w:t>
      </w:r>
      <w:r>
        <w:rPr>
          <w:color w:val="6E6158"/>
        </w:rPr>
        <w:t>business background allows him to counsel business owners and executive management to</w:t>
      </w:r>
      <w:r>
        <w:rPr>
          <w:color w:val="6E6158"/>
          <w:spacing w:val="40"/>
        </w:rPr>
        <w:t> </w:t>
      </w:r>
      <w:r>
        <w:rPr>
          <w:color w:val="6E6158"/>
        </w:rPr>
        <w:t>provide practical, business-oriented solutions to complex legal problems. His clients include </w:t>
      </w:r>
      <w:r>
        <w:rPr>
          <w:color w:val="6E6158"/>
        </w:rPr>
        <w:t>such</w:t>
      </w:r>
      <w:r>
        <w:rPr>
          <w:color w:val="6E6158"/>
          <w:spacing w:val="40"/>
        </w:rPr>
        <w:t> </w:t>
      </w:r>
      <w:r>
        <w:rPr>
          <w:color w:val="6E6158"/>
        </w:rPr>
        <w:t>varied</w:t>
      </w:r>
      <w:r>
        <w:rPr>
          <w:color w:val="6E6158"/>
          <w:spacing w:val="35"/>
        </w:rPr>
        <w:t> </w:t>
      </w:r>
      <w:r>
        <w:rPr>
          <w:color w:val="6E6158"/>
        </w:rPr>
        <w:t>industries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service</w:t>
      </w:r>
      <w:r>
        <w:rPr>
          <w:color w:val="6E6158"/>
          <w:spacing w:val="35"/>
        </w:rPr>
        <w:t> </w:t>
      </w:r>
      <w:r>
        <w:rPr>
          <w:color w:val="6E6158"/>
        </w:rPr>
        <w:t>groups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healthcare</w:t>
      </w:r>
      <w:r>
        <w:rPr>
          <w:color w:val="6E6158"/>
          <w:spacing w:val="35"/>
        </w:rPr>
        <w:t> </w:t>
      </w:r>
      <w:r>
        <w:rPr>
          <w:color w:val="6E6158"/>
        </w:rPr>
        <w:t>providers,</w:t>
      </w:r>
      <w:r>
        <w:rPr>
          <w:color w:val="6E6158"/>
          <w:spacing w:val="35"/>
        </w:rPr>
        <w:t> </w:t>
      </w:r>
      <w:r>
        <w:rPr>
          <w:color w:val="6E6158"/>
        </w:rPr>
        <w:t>government</w:t>
      </w:r>
      <w:r>
        <w:rPr>
          <w:color w:val="6E6158"/>
          <w:spacing w:val="35"/>
        </w:rPr>
        <w:t> </w:t>
      </w:r>
      <w:r>
        <w:rPr>
          <w:color w:val="6E6158"/>
        </w:rPr>
        <w:t>entities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food</w:t>
      </w:r>
    </w:p>
    <w:p>
      <w:pPr>
        <w:pStyle w:val="BodyText"/>
        <w:spacing w:before="11"/>
        <w:ind w:left="104"/>
      </w:pPr>
      <w:r>
        <w:rPr>
          <w:color w:val="6E6158"/>
        </w:rPr>
        <w:t>processors,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well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agribusiness,</w:t>
      </w:r>
      <w:r>
        <w:rPr>
          <w:color w:val="6E6158"/>
          <w:spacing w:val="14"/>
        </w:rPr>
        <w:t> </w:t>
      </w:r>
      <w:r>
        <w:rPr>
          <w:color w:val="6E6158"/>
        </w:rPr>
        <w:t>technology,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</w:rPr>
        <w:t>benefit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companies.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244"/>
      </w:pPr>
      <w:r>
        <w:rPr>
          <w:color w:val="6E6158"/>
        </w:rPr>
        <w:t>Rob began his practice in the San Francisco Bay Area, working as counsel and General Counsel</w:t>
      </w:r>
      <w:r>
        <w:rPr>
          <w:color w:val="6E6158"/>
          <w:spacing w:val="80"/>
        </w:rPr>
        <w:t> </w:t>
      </w:r>
      <w:r>
        <w:rPr>
          <w:color w:val="6E6158"/>
        </w:rPr>
        <w:t>to internet and “high-tech” companies. He has been in-house counsel for start-ups, early-stage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public</w:t>
      </w:r>
      <w:r>
        <w:rPr>
          <w:color w:val="6E6158"/>
          <w:spacing w:val="39"/>
        </w:rPr>
        <w:t> </w:t>
      </w:r>
      <w:r>
        <w:rPr>
          <w:color w:val="6E6158"/>
        </w:rPr>
        <w:t>companies,</w:t>
      </w:r>
      <w:r>
        <w:rPr>
          <w:color w:val="6E6158"/>
          <w:spacing w:val="39"/>
        </w:rPr>
        <w:t> </w:t>
      </w:r>
      <w:r>
        <w:rPr>
          <w:color w:val="6E6158"/>
        </w:rPr>
        <w:t>working</w:t>
      </w:r>
      <w:r>
        <w:rPr>
          <w:color w:val="6E6158"/>
          <w:spacing w:val="39"/>
        </w:rPr>
        <w:t> </w:t>
      </w:r>
      <w:r>
        <w:rPr>
          <w:color w:val="6E6158"/>
        </w:rPr>
        <w:t>on</w:t>
      </w:r>
      <w:r>
        <w:rPr>
          <w:color w:val="6E6158"/>
          <w:spacing w:val="39"/>
        </w:rPr>
        <w:t> </w:t>
      </w: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services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licensing</w:t>
      </w:r>
      <w:r>
        <w:rPr>
          <w:color w:val="6E6158"/>
          <w:spacing w:val="39"/>
        </w:rPr>
        <w:t> </w:t>
      </w:r>
      <w:r>
        <w:rPr>
          <w:color w:val="6E6158"/>
        </w:rPr>
        <w:t>agreements,</w:t>
      </w:r>
      <w:r>
        <w:rPr>
          <w:color w:val="6E6158"/>
          <w:spacing w:val="39"/>
        </w:rPr>
        <w:t> </w:t>
      </w:r>
      <w:r>
        <w:rPr>
          <w:color w:val="6E6158"/>
        </w:rPr>
        <w:t>compliance, real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services.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1"/>
        <w:ind w:left="104" w:right="244"/>
      </w:pPr>
      <w:r>
        <w:rPr>
          <w:color w:val="6E6158"/>
        </w:rPr>
        <w:t>Rob has spent the last 15 plus years working with small and midsize organizations to provide</w:t>
      </w:r>
      <w:r>
        <w:rPr>
          <w:color w:val="6E6158"/>
          <w:spacing w:val="40"/>
        </w:rPr>
        <w:t> </w:t>
      </w:r>
      <w:r>
        <w:rPr>
          <w:color w:val="6E6158"/>
        </w:rPr>
        <w:t>strategic</w:t>
      </w:r>
      <w:r>
        <w:rPr>
          <w:color w:val="6E6158"/>
          <w:spacing w:val="34"/>
        </w:rPr>
        <w:t> </w:t>
      </w:r>
      <w:r>
        <w:rPr>
          <w:color w:val="6E6158"/>
        </w:rPr>
        <w:t>guidance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growth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4"/>
        </w:rPr>
        <w:t> </w:t>
      </w:r>
      <w:r>
        <w:rPr>
          <w:color w:val="6E6158"/>
        </w:rPr>
        <w:t>transactions,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well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4"/>
        </w:rPr>
        <w:t> </w:t>
      </w:r>
      <w:r>
        <w:rPr>
          <w:color w:val="6E6158"/>
        </w:rPr>
        <w:t>litigation,</w:t>
      </w:r>
    </w:p>
    <w:p>
      <w:pPr>
        <w:pStyle w:val="BodyText"/>
        <w:spacing w:line="295" w:lineRule="auto" w:before="9"/>
        <w:ind w:left="104" w:right="244"/>
      </w:pPr>
      <w:r>
        <w:rPr>
          <w:color w:val="6E6158"/>
        </w:rPr>
        <w:t>compliance, and public entity defense. In his healthcare practice, Rob assists clients with</w:t>
      </w:r>
      <w:r>
        <w:rPr>
          <w:color w:val="6E6158"/>
          <w:spacing w:val="40"/>
        </w:rPr>
        <w:t> </w:t>
      </w:r>
      <w:r>
        <w:rPr>
          <w:color w:val="6E6158"/>
        </w:rPr>
        <w:t>formation, contract negotiation and preparation, growth strategies, employment matters,</w:t>
      </w:r>
      <w:r>
        <w:rPr>
          <w:color w:val="6E6158"/>
          <w:spacing w:val="40"/>
        </w:rPr>
        <w:t> </w:t>
      </w:r>
      <w:r>
        <w:rPr>
          <w:color w:val="6E6158"/>
        </w:rPr>
        <w:t>regulatory and contractual compliance, and risk mitigation. Rob regularly counsels his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about HIPAA, Stark, Anti-kickback, CCPA and other compliance matters.</w:t>
      </w:r>
    </w:p>
    <w:p>
      <w:pPr>
        <w:pStyle w:val="BodyText"/>
        <w:spacing w:line="295" w:lineRule="auto" w:before="197"/>
        <w:ind w:left="104" w:right="244"/>
      </w:pPr>
      <w:r>
        <w:rPr>
          <w:color w:val="6E6158"/>
        </w:rPr>
        <w:t>Outside of work, Rob and his wife stay busy with three kids. He keeps active by skiing, hiking,</w:t>
      </w:r>
      <w:r>
        <w:rPr>
          <w:color w:val="6E6158"/>
          <w:spacing w:val="40"/>
        </w:rPr>
        <w:t> </w:t>
      </w:r>
      <w:r>
        <w:rPr>
          <w:color w:val="6E6158"/>
        </w:rPr>
        <w:t>golfing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playing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coaching</w:t>
      </w:r>
      <w:r>
        <w:rPr>
          <w:color w:val="6E6158"/>
          <w:spacing w:val="16"/>
        </w:rPr>
        <w:t> </w:t>
      </w:r>
      <w:r>
        <w:rPr>
          <w:color w:val="6E6158"/>
        </w:rPr>
        <w:t>rugby.</w:t>
      </w:r>
      <w:r>
        <w:rPr>
          <w:color w:val="6E6158"/>
          <w:spacing w:val="16"/>
        </w:rPr>
        <w:t> </w:t>
      </w:r>
      <w:r>
        <w:rPr>
          <w:color w:val="6E6158"/>
        </w:rPr>
        <w:t>Rob</w:t>
      </w:r>
      <w:r>
        <w:rPr>
          <w:color w:val="6E6158"/>
          <w:spacing w:val="16"/>
        </w:rPr>
        <w:t> </w:t>
      </w:r>
      <w:r>
        <w:rPr>
          <w:color w:val="6E6158"/>
        </w:rPr>
        <w:t>grew</w:t>
      </w:r>
      <w:r>
        <w:rPr>
          <w:color w:val="6E6158"/>
          <w:spacing w:val="16"/>
        </w:rPr>
        <w:t> </w:t>
      </w:r>
      <w:r>
        <w:rPr>
          <w:color w:val="6E6158"/>
        </w:rPr>
        <w:t>up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Fresno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has</w:t>
      </w:r>
      <w:r>
        <w:rPr>
          <w:color w:val="6E6158"/>
          <w:spacing w:val="16"/>
        </w:rPr>
        <w:t> </w:t>
      </w:r>
      <w:r>
        <w:rPr>
          <w:color w:val="6E6158"/>
        </w:rPr>
        <w:t>served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boards of several local non-profit organizations, including The United Way of Fresno County (Secretary),</w:t>
      </w:r>
      <w:r>
        <w:rPr>
          <w:color w:val="6E6158"/>
          <w:spacing w:val="40"/>
        </w:rPr>
        <w:t> </w:t>
      </w:r>
      <w:r>
        <w:rPr>
          <w:color w:val="6E6158"/>
        </w:rPr>
        <w:t>Charlie Keyan Armenian Community School, Central California Rugby Foundation and as</w:t>
      </w:r>
      <w:r>
        <w:rPr>
          <w:color w:val="6E6158"/>
          <w:spacing w:val="40"/>
        </w:rPr>
        <w:t> </w:t>
      </w:r>
      <w:r>
        <w:rPr>
          <w:color w:val="6E6158"/>
        </w:rPr>
        <w:t>Chairman of CenCal Youth Sports.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13pt;width:1.65pt;height:1.65pt;mso-position-horizontal-relative:page;mso-position-vertical-relative:paragraph;z-index:15729152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Golden</w:t>
      </w:r>
      <w:r>
        <w:rPr>
          <w:color w:val="6E6158"/>
          <w:spacing w:val="12"/>
        </w:rPr>
        <w:t> </w:t>
      </w:r>
      <w:r>
        <w:rPr>
          <w:color w:val="6E6158"/>
        </w:rPr>
        <w:t>Gate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174pt;width:1.65pt;height:1.65pt;mso-position-horizontal-relative:page;mso-position-vertical-relative:paragraph;z-index:15729664" id="docshape1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</w:t>
      </w:r>
      <w:r>
        <w:rPr>
          <w:color w:val="6E6158"/>
          <w:spacing w:val="12"/>
        </w:rPr>
        <w:t> </w:t>
      </w:r>
      <w:r>
        <w:rPr>
          <w:color w:val="6E6158"/>
        </w:rPr>
        <w:t>Golden</w:t>
      </w:r>
      <w:r>
        <w:rPr>
          <w:color w:val="6E6158"/>
          <w:spacing w:val="13"/>
        </w:rPr>
        <w:t> </w:t>
      </w:r>
      <w:r>
        <w:rPr>
          <w:color w:val="6E6158"/>
        </w:rPr>
        <w:t>Gate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Ageno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175096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093pt;width:1.65pt;height:1.65pt;mso-position-horizontal-relative:page;mso-position-vertical-relative:paragraph;z-index:15730176" id="docshape1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Political</w:t>
      </w:r>
      <w:r>
        <w:rPr>
          <w:color w:val="6E6158"/>
          <w:spacing w:val="14"/>
        </w:rPr>
        <w:t> </w:t>
      </w:r>
      <w:r>
        <w:rPr>
          <w:color w:val="6E6158"/>
        </w:rPr>
        <w:t>Economy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</w:rPr>
        <w:t>Resources,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History,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6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59548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883pt;width:1.65pt;height:1.65pt;mso-position-horizontal-relative:page;mso-position-vertical-relative:paragraph;z-index:15731200" id="docshape15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317914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2633pt;width:1.65pt;height:1.65pt;mso-position-horizontal-relative:page;mso-position-vertical-relative:paragraph;z-index:15731712" id="docshape16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</w:t>
      </w:r>
      <w:r>
        <w:rPr>
          <w:color w:val="6E6158"/>
        </w:rPr>
        <w:t>Transactions </w:t>
      </w:r>
      <w:r>
        <w:rPr>
          <w:color w:val="6E6158"/>
          <w:spacing w:val="-2"/>
        </w:rPr>
        <w:t>Privacy</w:t>
      </w:r>
    </w:p>
    <w:p>
      <w:pPr>
        <w:pStyle w:val="BodyText"/>
        <w:spacing w:line="422" w:lineRule="auto"/>
        <w:ind w:right="72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58539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414pt;width:1.65pt;height:1.65pt;mso-position-horizontal-relative:page;mso-position-vertical-relative:paragraph;z-index:15732224" id="docshape1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39pt;width:1.65pt;height:1.65pt;mso-position-horizontal-relative:page;mso-position-vertical-relative:paragraph;z-index:15732736" id="docshape1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580438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3789pt;width:1.65pt;height:1.65pt;mso-position-horizontal-relative:page;mso-position-vertical-relative:paragraph;z-index:15733248" id="docshape19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Property </w:t>
      </w:r>
      <w:r>
        <w:rPr>
          <w:color w:val="6E6158"/>
          <w:spacing w:val="-2"/>
        </w:rPr>
        <w:t>Technology </w:t>
      </w:r>
      <w:r>
        <w:rPr>
          <w:color w:val="6E6158"/>
        </w:rPr>
        <w:t>Business &amp; </w:t>
      </w:r>
      <w:r>
        <w:rPr>
          <w:color w:val="6E6158"/>
        </w:rPr>
        <w:t>Finance</w:t>
      </w:r>
    </w:p>
    <w:p>
      <w:pPr>
        <w:pStyle w:val="BodyText"/>
        <w:spacing w:line="427" w:lineRule="auto"/>
        <w:ind w:right="6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57755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7654pt;width:1.65pt;height:1.65pt;mso-position-horizontal-relative:page;mso-position-vertical-relative:paragraph;z-index:15733760" id="docshape20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321288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8277pt;width:1.65pt;height:1.65pt;mso-position-horizontal-relative:page;mso-position-vertical-relative:paragraph;z-index:15734272" id="docshape21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Health Care</w:t>
      </w:r>
    </w:p>
    <w:p>
      <w:pPr>
        <w:pStyle w:val="BodyText"/>
        <w:spacing w:line="420" w:lineRule="auto"/>
        <w:ind w:right="64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53037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6197pt;width:1.65pt;height:1.65pt;mso-position-horizontal-relative:page;mso-position-vertical-relative:paragraph;z-index:15734784" id="docshape22" coordorigin="1675,84" coordsize="33,33" path="m1696,116l1687,116,1683,114,1676,108,1675,104,1675,95,1676,91,1683,85,1687,84,1696,84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311403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19947pt;width:1.65pt;height:1.65pt;mso-position-horizontal-relative:page;mso-position-vertical-relative:paragraph;z-index:15735296" id="docshape23" coordorigin="1675,490" coordsize="33,33" path="m1696,523l1687,523,1683,521,1676,515,1675,511,1675,502,1676,498,1683,492,1687,490,1696,490,1699,492,1706,498,1707,502,1707,507,1707,511,1706,515,1699,521,1696,5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Mergers &amp; Acquisitions</w:t>
      </w:r>
    </w:p>
    <w:p>
      <w:pPr>
        <w:pStyle w:val="Heading1"/>
        <w:spacing w:before="14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152940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585pt;width:1.65pt;height:1.65pt;mso-position-horizontal-relative:page;mso-position-vertical-relative:paragraph;z-index:15735808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Author, “California Attorney General Signals Enforcement of CCPA Regulations on HR Data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Following Temporary Exemption’s End,” Fennemore Blog, July 27, 2023</w:t>
        </w:r>
      </w:hyperlink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131211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617pt;width:1.65pt;height:1.65pt;mso-position-horizontal-relative:page;mso-position-vertical-relative:paragraph;z-index:15736320" id="docshape2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Author, “California Attorney General Signals Enforcement of CCPA Regulations on HR Data,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Following Temporary Exemption’s End,” Fennemore Client Alert, July 27, 2023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137739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591pt;width:1.65pt;height:1.65pt;mso-position-horizontal-relative:page;mso-position-vertical-relative:paragraph;z-index:15736832" id="docshape26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“Privacy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Fennemore</w:t>
      </w:r>
      <w:r>
        <w:rPr>
          <w:color w:val="6E6158"/>
          <w:spacing w:val="10"/>
        </w:rPr>
        <w:t> </w:t>
      </w:r>
      <w:r>
        <w:rPr>
          <w:color w:val="6E6158"/>
        </w:rPr>
        <w:t>Lawyers:</w:t>
      </w:r>
      <w:r>
        <w:rPr>
          <w:color w:val="6E6158"/>
          <w:spacing w:val="10"/>
        </w:rPr>
        <w:t> </w:t>
      </w:r>
      <w:r>
        <w:rPr>
          <w:color w:val="6E6158"/>
        </w:rPr>
        <w:t>What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need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know,”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19,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175241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511pt;width:1.65pt;height:1.65pt;mso-position-horizontal-relative:page;mso-position-vertical-relative:paragraph;z-index:15737344" id="docshape2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“A Conversation With Attorney Rob Tookoian On Lessons Learned and Life In </w:t>
        </w:r>
        <w:r>
          <w:rPr>
            <w:color w:val="F5821F"/>
          </w:rPr>
          <w:t>The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Legal Profession,” Fennemore Blog, March 24,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137953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483pt;width:1.65pt;height:1.65pt;mso-position-horizontal-relative:page;mso-position-vertical-relative:paragraph;z-index:15737856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76"/>
        </w:rPr>
        <w:t> </w:t>
      </w:r>
      <w:r>
        <w:rPr>
          <w:color w:val="6E6158"/>
        </w:rPr>
        <w:t>“Understanding</w:t>
      </w:r>
      <w:r>
        <w:rPr>
          <w:color w:val="6E6158"/>
          <w:spacing w:val="11"/>
        </w:rPr>
        <w:t> </w:t>
      </w:r>
      <w:r>
        <w:rPr>
          <w:color w:val="6E6158"/>
        </w:rPr>
        <w:t>Data,</w:t>
      </w:r>
      <w:r>
        <w:rPr>
          <w:color w:val="6E6158"/>
          <w:spacing w:val="12"/>
        </w:rPr>
        <w:t> </w:t>
      </w:r>
      <w:r>
        <w:rPr>
          <w:color w:val="6E6158"/>
        </w:rPr>
        <w:t>Decision</w:t>
      </w:r>
      <w:r>
        <w:rPr>
          <w:color w:val="6E6158"/>
          <w:spacing w:val="11"/>
        </w:rPr>
        <w:t> </w:t>
      </w:r>
      <w:r>
        <w:rPr>
          <w:color w:val="6E6158"/>
        </w:rPr>
        <w:t>making,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Design,”</w:t>
      </w:r>
      <w:r>
        <w:rPr>
          <w:color w:val="6E6158"/>
          <w:spacing w:val="12"/>
        </w:rPr>
        <w:t> </w:t>
      </w:r>
      <w:r>
        <w:rPr>
          <w:color w:val="6E6158"/>
        </w:rPr>
        <w:t>CPRA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+</w:t>
      </w:r>
      <w:r>
        <w:rPr>
          <w:color w:val="6E6158"/>
          <w:spacing w:val="11"/>
        </w:rPr>
        <w:t> </w:t>
      </w:r>
      <w:r>
        <w:rPr>
          <w:color w:val="6E6158"/>
        </w:rPr>
        <w:t>Tech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Series</w:t>
      </w:r>
    </w:p>
    <w:p>
      <w:pPr>
        <w:pStyle w:val="BodyText"/>
        <w:spacing w:line="292" w:lineRule="auto"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175455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403pt;width:1.65pt;height:1.65pt;mso-position-horizontal-relative:page;mso-position-vertical-relative:paragraph;z-index:15738368" id="docshape2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“Pharma Group Sues Government to Keep Drug Prices Secret,” Verywell </w:t>
      </w:r>
      <w:r>
        <w:rPr>
          <w:color w:val="6E6158"/>
        </w:rPr>
        <w:t>Health, October 20, 2021</w:t>
      </w:r>
    </w:p>
    <w:p>
      <w:pPr>
        <w:pStyle w:val="BodyText"/>
        <w:spacing w:line="292" w:lineRule="auto" w:before="123"/>
        <w:ind w:right="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137533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376pt;width:1.65pt;height:1.65pt;mso-position-horizontal-relative:page;mso-position-vertical-relative:paragraph;z-index:15738880" id="docshape3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“Providers Beware: The Office For Civil Rights is Making an Example of Providers That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Fail to Deliver Patient Records,” Fennemore Client Alert, February 2, 2021</w:t>
        </w:r>
      </w:hyperlink>
    </w:p>
    <w:p>
      <w:pPr>
        <w:pStyle w:val="BodyText"/>
        <w:spacing w:line="292" w:lineRule="auto" w:before="131"/>
        <w:ind w:right="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142877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224pt;width:1.65pt;height:1.65pt;mso-position-horizontal-relative:page;mso-position-vertical-relative:paragraph;z-index:15739392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“SCOTUS Brings the Hammer Down on Pharmacy Benefit Managers,”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Client Alert, December 17, 2020</w:t>
        </w:r>
      </w:hyperlink>
    </w:p>
    <w:p>
      <w:pPr>
        <w:pStyle w:val="BodyText"/>
        <w:spacing w:line="420" w:lineRule="auto" w:before="124"/>
        <w:ind w:right="15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137975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198pt;width:1.65pt;height:1.65pt;mso-position-horizontal-relative:page;mso-position-vertical-relative:paragraph;z-index:15739904" id="docshape3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396340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07947pt;width:1.65pt;height:1.65pt;mso-position-horizontal-relative:page;mso-position-vertical-relative:paragraph;z-index:15740416" id="docshape33" coordorigin="1675,624" coordsize="33,33" path="m1696,657l1687,657,1683,655,1676,649,1675,645,1675,636,1676,632,1683,626,1687,624,1696,624,1699,626,1706,632,1707,636,1707,640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“California Consumer Privacy Act’s Application to </w:t>
      </w:r>
      <w:r>
        <w:rPr>
          <w:color w:val="6E6158"/>
        </w:rPr>
        <w:t>Employers” Presenter, “Handling Contract Performance Issues During COVID”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63393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603pt;width:1.65pt;height:1.65pt;mso-position-horizontal-relative:page;mso-position-vertical-relative:paragraph;z-index:15740928" id="docshape34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“Coronavirus</w:t>
      </w:r>
      <w:r>
        <w:rPr>
          <w:color w:val="6E6158"/>
          <w:spacing w:val="11"/>
        </w:rPr>
        <w:t> </w:t>
      </w:r>
      <w:r>
        <w:rPr>
          <w:color w:val="6E6158"/>
        </w:rPr>
        <w:t>Aid</w:t>
      </w:r>
      <w:r>
        <w:rPr>
          <w:color w:val="6E6158"/>
          <w:spacing w:val="11"/>
        </w:rPr>
        <w:t> </w:t>
      </w:r>
      <w:r>
        <w:rPr>
          <w:color w:val="6E6158"/>
        </w:rPr>
        <w:t>Relief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Economic</w:t>
      </w:r>
      <w:r>
        <w:rPr>
          <w:color w:val="6E6158"/>
          <w:spacing w:val="11"/>
        </w:rPr>
        <w:t> </w:t>
      </w:r>
      <w:r>
        <w:rPr>
          <w:color w:val="6E6158"/>
        </w:rPr>
        <w:t>Security</w:t>
      </w:r>
      <w:r>
        <w:rPr>
          <w:color w:val="6E6158"/>
          <w:spacing w:val="11"/>
        </w:rPr>
        <w:t> </w:t>
      </w:r>
      <w:r>
        <w:rPr>
          <w:color w:val="6E6158"/>
        </w:rPr>
        <w:t>CARES</w:t>
      </w:r>
      <w:r>
        <w:rPr>
          <w:color w:val="6E6158"/>
          <w:spacing w:val="11"/>
        </w:rPr>
        <w:t> </w:t>
      </w:r>
      <w:r>
        <w:rPr>
          <w:color w:val="6E6158"/>
        </w:rPr>
        <w:t>Act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Overview”</w:t>
      </w:r>
    </w:p>
    <w:p>
      <w:pPr>
        <w:pStyle w:val="BodyText"/>
        <w:spacing w:line="420" w:lineRule="auto" w:before="174"/>
        <w:ind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170023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648pt;width:1.65pt;height:1.65pt;mso-position-horizontal-relative:page;mso-position-vertical-relative:paragraph;z-index:15741440" id="docshape3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428388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1396pt;width:1.65pt;height:1.65pt;mso-position-horizontal-relative:page;mso-position-vertical-relative:paragraph;z-index:15741952" id="docshape36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Brief Overview of the Paycheck Protection Program, a 100% Forgivable Loan” Author, “Franchises, Hotels and Restaurants, Oh My: PPP Progress”</w:t>
      </w:r>
    </w:p>
    <w:p>
      <w:pPr>
        <w:pStyle w:val="BodyText"/>
        <w:spacing w:line="422" w:lineRule="auto"/>
        <w:ind w:righ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58523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178pt;width:1.65pt;height:1.65pt;mso-position-horizontal-relative:page;mso-position-vertical-relative:paragraph;z-index:15742464" id="docshape3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322056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803pt;width:1.65pt;height:1.65pt;mso-position-horizontal-relative:page;mso-position-vertical-relative:paragraph;z-index:15742976" id="docshape3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580422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2553pt;width:1.65pt;height:1.65pt;mso-position-horizontal-relative:page;mso-position-vertical-relative:paragraph;z-index:15743488" id="docshape39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“SBA Warns Borrowers to Double Check That They Qualify for a PPP Loan”</w:t>
      </w:r>
      <w:r>
        <w:rPr>
          <w:color w:val="6E6158"/>
          <w:spacing w:val="80"/>
        </w:rPr>
        <w:t> </w:t>
      </w:r>
      <w:r>
        <w:rPr>
          <w:color w:val="6E6158"/>
        </w:rPr>
        <w:t>Author, “SBA Clarifies Effect of Laid-off Employees in Calculating PPP Loan Forgiveness” Author, “SBA Provides Safe Harbor Guidance for Some PPP Loan Recipients”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57739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6418pt;width:1.65pt;height:1.65pt;mso-position-horizontal-relative:page;mso-position-vertical-relative:paragraph;z-index:15744000" id="docshape40" coordorigin="1675,91" coordsize="33,33" path="m1696,123l1687,123,1683,122,1676,116,1675,112,1675,103,1676,99,1683,93,1687,91,1696,91,1699,93,1706,99,1707,103,1707,107,1707,112,1706,116,1699,122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“SBA</w:t>
      </w:r>
      <w:r>
        <w:rPr>
          <w:color w:val="6E6158"/>
          <w:spacing w:val="11"/>
        </w:rPr>
        <w:t> </w:t>
      </w:r>
      <w:r>
        <w:rPr>
          <w:color w:val="6E6158"/>
        </w:rPr>
        <w:t>Publishes</w:t>
      </w:r>
      <w:r>
        <w:rPr>
          <w:color w:val="6E6158"/>
          <w:spacing w:val="12"/>
        </w:rPr>
        <w:t> </w:t>
      </w:r>
      <w:r>
        <w:rPr>
          <w:color w:val="6E6158"/>
        </w:rPr>
        <w:t>PPP</w:t>
      </w:r>
      <w:r>
        <w:rPr>
          <w:color w:val="6E6158"/>
          <w:spacing w:val="11"/>
        </w:rPr>
        <w:t> </w:t>
      </w:r>
      <w:r>
        <w:rPr>
          <w:color w:val="6E6158"/>
        </w:rPr>
        <w:t>Loan</w:t>
      </w:r>
      <w:r>
        <w:rPr>
          <w:color w:val="6E6158"/>
          <w:spacing w:val="12"/>
        </w:rPr>
        <w:t> </w:t>
      </w:r>
      <w:r>
        <w:rPr>
          <w:color w:val="6E6158"/>
        </w:rPr>
        <w:t>Forgiveness</w:t>
      </w:r>
      <w:r>
        <w:rPr>
          <w:color w:val="6E6158"/>
          <w:spacing w:val="11"/>
        </w:rPr>
        <w:t> </w:t>
      </w:r>
      <w:r>
        <w:rPr>
          <w:color w:val="6E6158"/>
        </w:rPr>
        <w:t>Application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Some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Clarifications”</w:t>
      </w:r>
    </w:p>
    <w:p>
      <w:pPr>
        <w:pStyle w:val="BodyText"/>
        <w:spacing w:after="0" w:line="232" w:lineRule="exact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3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44512" id="docshape4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47pt;width:1.65pt;height:1.65pt;mso-position-horizontal-relative:page;mso-position-vertical-relative:paragraph;z-index:15745024" id="docshape4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Association of Privacy </w:t>
      </w:r>
      <w:r>
        <w:rPr>
          <w:color w:val="6E6158"/>
        </w:rPr>
        <w:t>Professionals Member, Fresno County Bar Association</w:t>
      </w:r>
    </w:p>
    <w:p>
      <w:pPr>
        <w:pStyle w:val="BodyText"/>
        <w:spacing w:line="420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63596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03pt;width:1.65pt;height:1.65pt;mso-position-horizontal-relative:page;mso-position-vertical-relative:paragraph;z-index:15745536" id="docshape4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321962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1353pt;width:1.65pt;height:1.65pt;mso-position-horizontal-relative:page;mso-position-vertical-relative:paragraph;z-index:15746048" id="docshape44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Privacy Law Section of the California Lawyers </w:t>
      </w:r>
      <w:r>
        <w:rPr>
          <w:color w:val="6E6158"/>
        </w:rPr>
        <w:t>Association Member, State Bar of California</w:t>
      </w:r>
    </w:p>
    <w:p>
      <w:pPr>
        <w:pStyle w:val="BodyText"/>
        <w:spacing w:line="420" w:lineRule="auto"/>
        <w:ind w:right="33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58777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134pt;width:1.65pt;height:1.65pt;mso-position-horizontal-relative:page;mso-position-vertical-relative:paragraph;z-index:15746560" id="docshape4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317142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1882pt;width:1.65pt;height:1.65pt;mso-position-horizontal-relative:page;mso-position-vertical-relative:paragraph;z-index:15747072" id="docshape46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Society for Healthcare </w:t>
      </w:r>
      <w:r>
        <w:rPr>
          <w:color w:val="6E6158"/>
        </w:rPr>
        <w:t>Attorneys Member, American Health Law Association</w:t>
      </w:r>
    </w:p>
    <w:p>
      <w:pPr>
        <w:pStyle w:val="BodyText"/>
        <w:spacing w:line="420" w:lineRule="auto" w:before="5"/>
        <w:ind w:right="40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62935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5539pt;width:1.65pt;height:1.65pt;mso-position-horizontal-relative:page;mso-position-vertical-relative:paragraph;z-index:15747584" id="docshape47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321300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9288pt;width:1.65pt;height:1.65pt;mso-position-horizontal-relative:page;mso-position-vertical-relative:paragraph;z-index:15748096" id="docshape48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Cal Alumni of Central </w:t>
      </w:r>
      <w:r>
        <w:rPr>
          <w:color w:val="6E6158"/>
        </w:rPr>
        <w:t>California Board Member, CenCal Youth Sports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152678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928pt;width:1.65pt;height:1.65pt;mso-position-horizontal-relative:page;mso-position-vertical-relative:paragraph;z-index:15748608" id="docshape4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174940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847pt;width:1.65pt;height:1.65pt;mso-position-horizontal-relative:page;mso-position-vertical-relative:paragraph;z-index:15749120" id="docshape5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169810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892pt;width:1.65pt;height:1.65pt;mso-position-horizontal-relative:page;mso-position-vertical-relative:paragraph;z-index:15749632" id="docshape5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169760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936pt;width:1.65pt;height:1.65pt;mso-position-horizontal-relative:page;mso-position-vertical-relative:paragraph;z-index:15750144" id="docshape5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rtookoian@fennemorelaw.com" TargetMode="External"/><Relationship Id="rId11" Type="http://schemas.openxmlformats.org/officeDocument/2006/relationships/hyperlink" Target="https://mailchi.mp/fennemorelaw/power-of-attorney-irs-filling-change?e=6383ff8993" TargetMode="External"/><Relationship Id="rId12" Type="http://schemas.openxmlformats.org/officeDocument/2006/relationships/hyperlink" Target="https://www.fennemorelaw.com/staying-focused-on-the-things-in-life-that-really-matter-family-community-and-personal-integrity/" TargetMode="External"/><Relationship Id="rId13" Type="http://schemas.openxmlformats.org/officeDocument/2006/relationships/hyperlink" Target="https://www.fennemorelaw.com/insights/newsletters/2021/providers-beware-the-office-for-civil-rights-is-making-an-example-of-providers-that-fail-to-deliver-patient-records" TargetMode="External"/><Relationship Id="rId14" Type="http://schemas.openxmlformats.org/officeDocument/2006/relationships/hyperlink" Target="https://www.fennemorelaw.com/insights/newsletters/2020/scotus-brings-the-hammer-down-on-pharmacy-benefit-manager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2024-12-04T09:06:00Z</dcterms:created>
  <dcterms:modified xsi:type="dcterms:W3CDTF">2024-12-04T09:06:00Z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