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40802" y="763308"/>
                            <a:ext cx="123126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STEVEN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MORGER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6856" y="2500373"/>
                            <a:ext cx="1498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smorger@fennemorelaw.com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47;top:1762;width:1939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STEVEN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MORGER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36;top:4497;width:236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smorger@fennemorelaw.com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STEVEN</w:t>
      </w:r>
      <w:r>
        <w:rPr>
          <w:color w:val="FF8100"/>
          <w:spacing w:val="6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MORGER</w:t>
      </w:r>
    </w:p>
    <w:p>
      <w:pPr>
        <w:pStyle w:val="BodyText"/>
        <w:spacing w:line="297" w:lineRule="auto" w:before="146"/>
        <w:ind w:left="104" w:right="256"/>
      </w:pPr>
      <w:r>
        <w:rPr>
          <w:color w:val="6E6158"/>
        </w:rPr>
        <w:t>Steve, an experienced business litigator, represents clients involved in real estate and complex business</w:t>
      </w:r>
      <w:r>
        <w:rPr>
          <w:color w:val="6E6158"/>
          <w:spacing w:val="28"/>
        </w:rPr>
        <w:t> </w:t>
      </w:r>
      <w:r>
        <w:rPr>
          <w:color w:val="6E6158"/>
        </w:rPr>
        <w:t>disputes.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particular</w:t>
      </w:r>
      <w:r>
        <w:rPr>
          <w:color w:val="6E6158"/>
          <w:spacing w:val="28"/>
        </w:rPr>
        <w:t> </w:t>
      </w:r>
      <w:r>
        <w:rPr>
          <w:color w:val="6E6158"/>
        </w:rPr>
        <w:t>expertise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areas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mortgages,</w:t>
      </w:r>
      <w:r>
        <w:rPr>
          <w:color w:val="6E6158"/>
          <w:spacing w:val="28"/>
        </w:rPr>
        <w:t> </w:t>
      </w:r>
      <w:r>
        <w:rPr>
          <w:color w:val="6E6158"/>
        </w:rPr>
        <w:t>deeds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trust, foreclosure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antideficiency</w:t>
      </w:r>
      <w:r>
        <w:rPr>
          <w:color w:val="6E6158"/>
          <w:spacing w:val="25"/>
        </w:rPr>
        <w:t> </w:t>
      </w:r>
      <w:r>
        <w:rPr>
          <w:color w:val="6E6158"/>
        </w:rPr>
        <w:t>issues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well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guarantees.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taught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20</w:t>
      </w:r>
      <w:r>
        <w:rPr>
          <w:color w:val="6E6158"/>
          <w:spacing w:val="26"/>
        </w:rPr>
        <w:t> </w:t>
      </w:r>
      <w:r>
        <w:rPr>
          <w:color w:val="6E6158"/>
        </w:rPr>
        <w:t>years</w:t>
      </w:r>
      <w:r>
        <w:rPr>
          <w:color w:val="6E6158"/>
          <w:spacing w:val="25"/>
        </w:rPr>
        <w:t> </w:t>
      </w:r>
      <w:r>
        <w:rPr>
          <w:color w:val="6E6158"/>
        </w:rPr>
        <w:t>at the University of California, Berkeley, School of Law.</w:t>
      </w:r>
      <w:r>
        <w:rPr>
          <w:color w:val="6E6158"/>
          <w:spacing w:val="80"/>
        </w:rPr>
        <w:t> </w:t>
      </w:r>
      <w:r>
        <w:rPr>
          <w:color w:val="6E6158"/>
        </w:rPr>
        <w:t>Steve has provided expert testimony</w:t>
      </w:r>
      <w:r>
        <w:rPr>
          <w:color w:val="6E6158"/>
          <w:spacing w:val="40"/>
        </w:rPr>
        <w:t> </w:t>
      </w:r>
      <w:r>
        <w:rPr>
          <w:color w:val="6E6158"/>
        </w:rPr>
        <w:t>involving real estate secured transactions and guarantees as well as title insurance, escrow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related</w:t>
      </w:r>
      <w:r>
        <w:rPr>
          <w:color w:val="6E6158"/>
          <w:spacing w:val="27"/>
        </w:rPr>
        <w:t> </w:t>
      </w:r>
      <w:r>
        <w:rPr>
          <w:color w:val="6E6158"/>
        </w:rPr>
        <w:t>disputes.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works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aspects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civil</w:t>
      </w:r>
      <w:r>
        <w:rPr>
          <w:color w:val="6E6158"/>
          <w:spacing w:val="27"/>
        </w:rPr>
        <w:t> </w:t>
      </w:r>
      <w:r>
        <w:rPr>
          <w:color w:val="6E6158"/>
        </w:rPr>
        <w:t>litigation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discovery</w:t>
      </w:r>
      <w:r>
        <w:rPr>
          <w:color w:val="6E6158"/>
          <w:spacing w:val="27"/>
        </w:rPr>
        <w:t> </w:t>
      </w:r>
      <w:r>
        <w:rPr>
          <w:color w:val="6E6158"/>
        </w:rPr>
        <w:t>through</w:t>
      </w:r>
      <w:r>
        <w:rPr>
          <w:color w:val="6E6158"/>
          <w:spacing w:val="27"/>
        </w:rPr>
        <w:t> </w:t>
      </w:r>
      <w:r>
        <w:rPr>
          <w:color w:val="6E6158"/>
        </w:rPr>
        <w:t>trial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line="225" w:lineRule="exact"/>
        <w:ind w:left="104"/>
      </w:pPr>
      <w:r>
        <w:rPr>
          <w:color w:val="6E6158"/>
          <w:spacing w:val="-2"/>
        </w:rPr>
        <w:t>appeal.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582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13"/>
        </w:rPr>
        <w:t> </w:t>
      </w:r>
      <w:r>
        <w:rPr>
          <w:color w:val="6E6158"/>
        </w:rPr>
        <w:t>Golden</w:t>
      </w:r>
      <w:r>
        <w:rPr>
          <w:color w:val="6E6158"/>
          <w:spacing w:val="14"/>
        </w:rPr>
        <w:t> </w:t>
      </w:r>
      <w:r>
        <w:rPr>
          <w:color w:val="6E6158"/>
        </w:rPr>
        <w:t>Gate</w:t>
      </w:r>
      <w:r>
        <w:rPr>
          <w:color w:val="6E6158"/>
          <w:spacing w:val="14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Taxation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175266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502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170136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545pt;width:1.65pt;height:1.65pt;mso-position-horizontal-relative:page;mso-position-vertical-relative:paragraph;z-index:15730176" id="docshape13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University of California, Berkeley, Business Administration with an emphasis in </w:t>
      </w:r>
      <w:r>
        <w:rPr>
          <w:color w:val="6E6158"/>
        </w:rPr>
        <w:t>Accounting</w:t>
      </w:r>
      <w:r>
        <w:rPr>
          <w:color w:val="6E6158"/>
          <w:spacing w:val="40"/>
        </w:rPr>
        <w:t> </w:t>
      </w:r>
      <w:r>
        <w:rPr>
          <w:color w:val="6E6158"/>
        </w:rPr>
        <w:t>and Finance</w:t>
      </w:r>
    </w:p>
    <w:p>
      <w:pPr>
        <w:pStyle w:val="Heading1"/>
        <w:spacing w:before="285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59732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349pt;width:1.65pt;height:1.65pt;mso-position-horizontal-relative:page;mso-position-vertical-relative:paragraph;z-index:15730688" id="docshape14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Cannabis</w:t>
      </w:r>
    </w:p>
    <w:p>
      <w:pPr>
        <w:pStyle w:val="BodyText"/>
        <w:spacing w:line="420" w:lineRule="auto" w:before="174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170172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393pt;width:1.65pt;height:1.65pt;mso-position-horizontal-relative:page;mso-position-vertical-relative:paragraph;z-index:15731200" id="docshape1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428537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3141pt;width:1.65pt;height:1.65pt;mso-position-horizontal-relative:page;mso-position-vertical-relative:paragraph;z-index:15731712" id="docshape16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152687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656pt;width:1.65pt;height:1.65pt;mso-position-horizontal-relative:page;mso-position-vertical-relative:paragraph;z-index:15732224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2004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631pt;width:1.65pt;height:1.65pt;mso-position-horizontal-relative:page;mso-position-vertical-relative:paragraph;z-index:15732736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“Sale Remedies,” Continuing Education of the Bar Real Property Basics, </w:t>
      </w:r>
      <w:r>
        <w:rPr>
          <w:color w:val="6E6158"/>
        </w:rPr>
        <w:t>December 11, 2019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“Finance Remedies,” Continuing Education of the Bar Real Property </w:t>
      </w:r>
      <w:r>
        <w:rPr>
          <w:color w:val="6E6158"/>
        </w:rPr>
        <w:t>Basics, November 25, 2019</w:t>
      </w:r>
    </w:p>
    <w:p>
      <w:pPr>
        <w:pStyle w:val="BodyText"/>
        <w:spacing w:line="292" w:lineRule="auto" w:before="132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3760" id="docshape2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“ACBA Bankruptcy Symposium,” Alameda County Bar Association, November </w:t>
      </w:r>
      <w:r>
        <w:rPr>
          <w:color w:val="6E6158"/>
        </w:rPr>
        <w:t>15,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23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137642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55pt;width:1.65pt;height:1.65pt;mso-position-horizontal-relative:page;mso-position-vertical-relative:paragraph;z-index:15734272" id="docshape2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“Title Insurance,” Continuing Education of the Bar Real Property Basics, November </w:t>
      </w:r>
      <w:r>
        <w:rPr>
          <w:color w:val="6E6158"/>
        </w:rPr>
        <w:t>7,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04pt;width:1.65pt;height:1.65pt;mso-position-horizontal-relative:page;mso-position-vertical-relative:paragraph;z-index:15734784" id="docshape2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“Will History Repeat? Comparing and Contrasting Cyclical Real Estate </w:t>
      </w:r>
      <w:r>
        <w:rPr>
          <w:color w:val="6E6158"/>
        </w:rPr>
        <w:t>Lending Environments,” Wendel Rosen Client Seminar, May 2017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152596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511pt;width:1.65pt;height:1.65pt;mso-position-horizontal-relative:page;mso-position-vertical-relative:paragraph;z-index:15735296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Advisor,</w:t>
      </w:r>
      <w:r>
        <w:rPr>
          <w:color w:val="6E6158"/>
          <w:spacing w:val="7"/>
        </w:rPr>
        <w:t> </w:t>
      </w:r>
      <w:r>
        <w:rPr>
          <w:color w:val="6E6158"/>
        </w:rPr>
        <w:t>Cartoon</w:t>
      </w:r>
      <w:r>
        <w:rPr>
          <w:color w:val="6E6158"/>
          <w:spacing w:val="8"/>
        </w:rPr>
        <w:t> </w:t>
      </w:r>
      <w:r>
        <w:rPr>
          <w:color w:val="6E6158"/>
        </w:rPr>
        <w:t>Art</w:t>
      </w:r>
      <w:r>
        <w:rPr>
          <w:color w:val="6E6158"/>
          <w:spacing w:val="7"/>
        </w:rPr>
        <w:t> </w:t>
      </w:r>
      <w:r>
        <w:rPr>
          <w:color w:val="6E6158"/>
        </w:rPr>
        <w:t>Museum,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Francisco</w:t>
      </w:r>
    </w:p>
    <w:p>
      <w:pPr>
        <w:pStyle w:val="BodyText"/>
        <w:spacing w:line="422" w:lineRule="auto" w:before="173"/>
        <w:ind w:left="356" w:right="1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555pt;width:1.65pt;height:1.65pt;mso-position-horizontal-relative:page;mso-position-vertical-relative:paragraph;z-index:15735808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433224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2179pt;width:1.65pt;height:1.65pt;mso-position-horizontal-relative:page;mso-position-vertical-relative:paragraph;z-index:15736320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691590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5929pt;width:1.65pt;height:1.65pt;mso-position-horizontal-relative:page;mso-position-vertical-relative:paragraph;z-index:15736832" id="docshape26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Board of Directors, Cartoon Art Museum, San Francisco</w:t>
      </w:r>
      <w:r>
        <w:rPr>
          <w:color w:val="6E6158"/>
          <w:spacing w:val="40"/>
        </w:rPr>
        <w:t> </w:t>
      </w:r>
      <w:r>
        <w:rPr>
          <w:color w:val="6E6158"/>
        </w:rPr>
        <w:t>Former Legal Advisor, Neighborhood Housing Services Silicon Valley, San Jose Lecturer, University of California, Berkeley, School of Law</w:t>
      </w:r>
    </w:p>
    <w:p>
      <w:pPr>
        <w:pStyle w:val="Heading1"/>
        <w:spacing w:before="16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152344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653pt;width:1.65pt;height:1.65pt;mso-position-horizontal-relative:page;mso-position-vertical-relative:paragraph;z-index:15737344" id="docshape2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292" w:lineRule="auto" w:before="182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175241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573pt;width:1.65pt;height:1.65pt;mso-position-horizontal-relative:page;mso-position-vertical-relative:paragraph;z-index:15737856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and Bankruptcy Courts Northern, Southern, Central and Eastern Districts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137954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545pt;width:1.65pt;height:1.65pt;mso-position-horizontal-relative:page;mso-position-vertical-relative:paragraph;z-index:15738368" id="docshape2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Texas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170289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589pt;width:1.65pt;height:1.65pt;mso-position-horizontal-relative:page;mso-position-vertical-relative:paragraph;z-index:15738880" id="docshape3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District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smorg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2024-12-04T08:47:44Z</dcterms:created>
  <dcterms:modified xsi:type="dcterms:W3CDTF">2024-12-04T08:47:44Z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