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ZAKI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ROBBINS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zrobbins@fennemorelaw.com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ZAKI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ROBBINS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zrobbins@fennemorelaw.com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ZAKI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ROBBINS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Zaki Robbins is a seasoned attorney at Fennemore, where he leverages extensive experience in</w:t>
      </w:r>
      <w:r>
        <w:rPr>
          <w:color w:val="6E6158"/>
          <w:spacing w:val="40"/>
        </w:rPr>
        <w:t> </w:t>
      </w:r>
      <w:r>
        <w:rPr>
          <w:color w:val="6E6158"/>
        </w:rPr>
        <w:t>renewable</w:t>
      </w:r>
      <w:r>
        <w:rPr>
          <w:color w:val="6E6158"/>
          <w:spacing w:val="27"/>
        </w:rPr>
        <w:t> </w:t>
      </w:r>
      <w:r>
        <w:rPr>
          <w:color w:val="6E6158"/>
        </w:rPr>
        <w:t>energy,</w:t>
      </w:r>
      <w:r>
        <w:rPr>
          <w:color w:val="6E6158"/>
          <w:spacing w:val="27"/>
        </w:rPr>
        <w:t> </w:t>
      </w:r>
      <w:r>
        <w:rPr>
          <w:color w:val="6E6158"/>
        </w:rPr>
        <w:t>privacy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wide</w:t>
      </w:r>
      <w:r>
        <w:rPr>
          <w:color w:val="6E6158"/>
          <w:spacing w:val="27"/>
        </w:rPr>
        <w:t> </w:t>
      </w:r>
      <w:r>
        <w:rPr>
          <w:color w:val="6E6158"/>
        </w:rPr>
        <w:t>array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matters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provide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strategic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clients.</w:t>
      </w:r>
      <w:r>
        <w:rPr>
          <w:color w:val="6E6158"/>
          <w:spacing w:val="12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ranging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startups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large</w:t>
      </w:r>
    </w:p>
    <w:p>
      <w:pPr>
        <w:pStyle w:val="BodyText"/>
        <w:spacing w:line="302" w:lineRule="auto" w:before="52"/>
        <w:ind w:left="104" w:right="734"/>
      </w:pPr>
      <w:r>
        <w:rPr>
          <w:color w:val="6E6158"/>
        </w:rPr>
        <w:t>corporations, guiding them through complex legal landscapes with a practical and </w:t>
      </w:r>
      <w:r>
        <w:rPr>
          <w:color w:val="6E6158"/>
        </w:rPr>
        <w:t>solutions-</w:t>
      </w:r>
      <w:r>
        <w:rPr>
          <w:color w:val="6E6158"/>
          <w:spacing w:val="40"/>
        </w:rPr>
        <w:t> </w:t>
      </w:r>
      <w:r>
        <w:rPr>
          <w:color w:val="6E6158"/>
        </w:rPr>
        <w:t>oriented approach.</w:t>
      </w:r>
    </w:p>
    <w:p>
      <w:pPr>
        <w:pStyle w:val="BodyText"/>
        <w:spacing w:line="295" w:lineRule="auto" w:before="186"/>
        <w:ind w:left="104" w:right="734"/>
      </w:pPr>
      <w:r>
        <w:rPr>
          <w:color w:val="6E6158"/>
        </w:rPr>
        <w:t>In the renewable energy sector, Zaki has represented developers, investors, and operators in transactions involving solar, wind, and other clean energy projects. His work includes drafting</w:t>
      </w:r>
      <w:r>
        <w:rPr>
          <w:color w:val="6E6158"/>
          <w:spacing w:val="80"/>
        </w:rPr>
        <w:t> </w:t>
      </w:r>
      <w:r>
        <w:rPr>
          <w:color w:val="6E6158"/>
        </w:rPr>
        <w:t>and negotiating power purchase agreements (PPAs), advising on project financing structures,</w:t>
      </w:r>
      <w:r>
        <w:rPr>
          <w:color w:val="6E6158"/>
          <w:spacing w:val="40"/>
        </w:rPr>
        <w:t> </w:t>
      </w:r>
      <w:r>
        <w:rPr>
          <w:color w:val="6E6158"/>
        </w:rPr>
        <w:t>and handling regulatory compliance with state and federal renewable energy standards. He is</w:t>
      </w:r>
      <w:r>
        <w:rPr>
          <w:color w:val="6E6158"/>
          <w:spacing w:val="40"/>
        </w:rPr>
        <w:t> </w:t>
      </w:r>
      <w:r>
        <w:rPr>
          <w:color w:val="6E6158"/>
        </w:rPr>
        <w:t>adept at navigating the unique challenges of this industry, including state-level incentive</w:t>
      </w:r>
      <w:r>
        <w:rPr>
          <w:color w:val="6E6158"/>
          <w:spacing w:val="40"/>
        </w:rPr>
        <w:t> </w:t>
      </w:r>
      <w:r>
        <w:rPr>
          <w:color w:val="6E6158"/>
        </w:rPr>
        <w:t>programs and federal regulatory frameworks.</w:t>
      </w:r>
    </w:p>
    <w:p>
      <w:pPr>
        <w:pStyle w:val="BodyText"/>
        <w:spacing w:before="193"/>
        <w:ind w:left="104"/>
      </w:pPr>
      <w:r>
        <w:rPr>
          <w:color w:val="6E6158"/>
        </w:rPr>
        <w:t>Zaki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well-versed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both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privacy</w:t>
      </w:r>
      <w:r>
        <w:rPr>
          <w:color w:val="6E6158"/>
          <w:spacing w:val="11"/>
        </w:rPr>
        <w:t> </w:t>
      </w:r>
      <w:r>
        <w:rPr>
          <w:color w:val="6E6158"/>
        </w:rPr>
        <w:t>laws,</w:t>
      </w:r>
      <w:r>
        <w:rPr>
          <w:color w:val="6E6158"/>
          <w:spacing w:val="10"/>
        </w:rPr>
        <w:t> </w:t>
      </w:r>
      <w:r>
        <w:rPr>
          <w:color w:val="6E6158"/>
        </w:rPr>
        <w:t>ensuring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remain</w:t>
      </w:r>
    </w:p>
    <w:p>
      <w:pPr>
        <w:pStyle w:val="BodyText"/>
        <w:spacing w:line="292" w:lineRule="auto" w:before="60"/>
        <w:ind w:left="104" w:right="580"/>
      </w:pPr>
      <w:r>
        <w:rPr>
          <w:color w:val="6E6158"/>
        </w:rPr>
        <w:t>compliant with a rapidly changing legal environment. He advises on the implementation of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protection</w:t>
      </w:r>
      <w:r>
        <w:rPr>
          <w:color w:val="6E6158"/>
          <w:spacing w:val="38"/>
        </w:rPr>
        <w:t> </w:t>
      </w:r>
      <w:r>
        <w:rPr>
          <w:color w:val="6E6158"/>
        </w:rPr>
        <w:t>strategies,</w:t>
      </w:r>
      <w:r>
        <w:rPr>
          <w:color w:val="6E6158"/>
          <w:spacing w:val="38"/>
        </w:rPr>
        <w:t> </w:t>
      </w:r>
      <w:r>
        <w:rPr>
          <w:color w:val="6E6158"/>
        </w:rPr>
        <w:t>statutory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regulatory</w:t>
      </w:r>
      <w:r>
        <w:rPr>
          <w:color w:val="6E6158"/>
          <w:spacing w:val="38"/>
        </w:rPr>
        <w:t> </w:t>
      </w:r>
      <w:r>
        <w:rPr>
          <w:color w:val="6E6158"/>
        </w:rPr>
        <w:t>legal</w:t>
      </w:r>
      <w:r>
        <w:rPr>
          <w:color w:val="6E6158"/>
          <w:spacing w:val="38"/>
        </w:rPr>
        <w:t> </w:t>
      </w:r>
      <w:r>
        <w:rPr>
          <w:color w:val="6E6158"/>
        </w:rPr>
        <w:t>compliance,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development</w:t>
      </w:r>
      <w:r>
        <w:rPr>
          <w:color w:val="6E6158"/>
          <w:spacing w:val="38"/>
        </w:rPr>
        <w:t> </w:t>
      </w:r>
      <w:r>
        <w:rPr>
          <w:color w:val="6E6158"/>
        </w:rPr>
        <w:t>of privacy policies and internal governance structures that protect sensitive customer information</w:t>
      </w:r>
      <w:r>
        <w:rPr>
          <w:color w:val="6E6158"/>
          <w:spacing w:val="40"/>
        </w:rPr>
        <w:t> </w:t>
      </w:r>
      <w:r>
        <w:rPr>
          <w:color w:val="6E6158"/>
        </w:rPr>
        <w:t>while maintaining business efficiency.</w:t>
      </w:r>
    </w:p>
    <w:p>
      <w:pPr>
        <w:pStyle w:val="BodyText"/>
        <w:spacing w:line="295" w:lineRule="auto" w:before="206"/>
        <w:ind w:left="104" w:right="734"/>
      </w:pPr>
      <w:r>
        <w:rPr>
          <w:color w:val="6E6158"/>
        </w:rPr>
        <w:t>In the area of business and finance law, Zaki’s practice spans mergers and acquisitions (M&amp;A),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debt and equity financing, and securities matters. He has successfully</w:t>
      </w:r>
      <w:r>
        <w:rPr>
          <w:color w:val="6E6158"/>
          <w:spacing w:val="40"/>
        </w:rPr>
        <w:t> </w:t>
      </w:r>
      <w:r>
        <w:rPr>
          <w:color w:val="6E6158"/>
        </w:rPr>
        <w:t>represented clients in complex M&amp;A transactions, assisting with deal structuring, due diligence,</w:t>
      </w:r>
      <w:r>
        <w:rPr>
          <w:color w:val="6E6158"/>
          <w:spacing w:val="40"/>
        </w:rPr>
        <w:t> </w:t>
      </w:r>
      <w:r>
        <w:rPr>
          <w:color w:val="6E6158"/>
        </w:rPr>
        <w:t>and negotiation, while ensuring compliance with relevant securities laws. His expertise in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includes advising boards of directors and executive teams on </w:t>
      </w:r>
      <w:r>
        <w:rPr>
          <w:color w:val="6E6158"/>
        </w:rPr>
        <w:t>fiduciary</w:t>
      </w:r>
      <w:r>
        <w:rPr>
          <w:color w:val="6E6158"/>
          <w:spacing w:val="40"/>
        </w:rPr>
        <w:t> </w:t>
      </w:r>
      <w:r>
        <w:rPr>
          <w:color w:val="6E6158"/>
        </w:rPr>
        <w:t>duties, governance frameworks, and corporate compliance matters.</w:t>
      </w:r>
    </w:p>
    <w:p>
      <w:pPr>
        <w:pStyle w:val="BodyText"/>
        <w:spacing w:line="297" w:lineRule="auto" w:before="193"/>
        <w:ind w:left="104" w:right="580"/>
      </w:pPr>
      <w:r>
        <w:rPr>
          <w:color w:val="6E6158"/>
        </w:rPr>
        <w:t>Zaki’s work in securities law includes counseling clients on capital-raising efforts, from private</w:t>
      </w:r>
      <w:r>
        <w:rPr>
          <w:color w:val="6E6158"/>
          <w:spacing w:val="40"/>
        </w:rPr>
        <w:t> </w:t>
      </w:r>
      <w:r>
        <w:rPr>
          <w:color w:val="6E6158"/>
        </w:rPr>
        <w:t>equity investments and venture capital funding to public offerings and private placements. He</w:t>
      </w:r>
      <w:r>
        <w:rPr>
          <w:color w:val="6E6158"/>
          <w:spacing w:val="40"/>
        </w:rPr>
        <w:t> </w:t>
      </w:r>
      <w:r>
        <w:rPr>
          <w:color w:val="6E6158"/>
        </w:rPr>
        <w:t>routinely advises on both federal and state securities regulations, including compliance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1933,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Exchange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1934,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rules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FINRA. His experience in debt and equity financing enables him to craft innovative solutions to help</w:t>
      </w:r>
      <w:r>
        <w:rPr>
          <w:color w:val="6E6158"/>
          <w:spacing w:val="40"/>
        </w:rPr>
        <w:t> </w:t>
      </w:r>
      <w:r>
        <w:rPr>
          <w:color w:val="6E6158"/>
        </w:rPr>
        <w:t>clients optimize their capital structure and funding strategies.</w:t>
      </w:r>
    </w:p>
    <w:p>
      <w:pPr>
        <w:pStyle w:val="BodyText"/>
        <w:spacing w:line="292" w:lineRule="auto" w:before="187"/>
        <w:ind w:left="104" w:right="580"/>
      </w:pPr>
      <w:r>
        <w:rPr>
          <w:color w:val="6E6158"/>
        </w:rPr>
        <w:t>In addition, Zaki represents venture capital funds and startup companies, providing counsel</w:t>
      </w:r>
      <w:r>
        <w:rPr>
          <w:color w:val="6E6158"/>
          <w:spacing w:val="40"/>
        </w:rPr>
        <w:t> </w:t>
      </w:r>
      <w:r>
        <w:rPr>
          <w:color w:val="6E6158"/>
        </w:rPr>
        <w:t>throughout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investment</w:t>
      </w:r>
      <w:r>
        <w:rPr>
          <w:color w:val="6E6158"/>
          <w:spacing w:val="17"/>
        </w:rPr>
        <w:t> </w:t>
      </w:r>
      <w:r>
        <w:rPr>
          <w:color w:val="6E6158"/>
        </w:rPr>
        <w:t>lifecycle.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assists</w:t>
      </w:r>
      <w:r>
        <w:rPr>
          <w:color w:val="6E6158"/>
          <w:spacing w:val="17"/>
        </w:rPr>
        <w:t> </w:t>
      </w:r>
      <w:r>
        <w:rPr>
          <w:color w:val="6E6158"/>
        </w:rPr>
        <w:t>venture</w:t>
      </w:r>
      <w:r>
        <w:rPr>
          <w:color w:val="6E6158"/>
          <w:spacing w:val="17"/>
        </w:rPr>
        <w:t> </w:t>
      </w:r>
      <w:r>
        <w:rPr>
          <w:color w:val="6E6158"/>
        </w:rPr>
        <w:t>capital</w:t>
      </w:r>
      <w:r>
        <w:rPr>
          <w:color w:val="6E6158"/>
          <w:spacing w:val="17"/>
        </w:rPr>
        <w:t> </w:t>
      </w:r>
      <w:r>
        <w:rPr>
          <w:color w:val="6E6158"/>
        </w:rPr>
        <w:t>firms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structuring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executing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 w:right="734"/>
      </w:pPr>
      <w:r>
        <w:rPr>
          <w:color w:val="6E6158"/>
        </w:rPr>
        <w:t>their investments in early-stage companies, while guiding startups through seed funding, </w:t>
      </w:r>
      <w:r>
        <w:rPr>
          <w:color w:val="6E6158"/>
        </w:rPr>
        <w:t>Series</w:t>
      </w:r>
      <w:r>
        <w:rPr>
          <w:color w:val="6E6158"/>
          <w:spacing w:val="40"/>
        </w:rPr>
        <w:t> </w:t>
      </w:r>
      <w:r>
        <w:rPr>
          <w:color w:val="6E6158"/>
        </w:rPr>
        <w:t>A/B/C</w:t>
      </w:r>
      <w:r>
        <w:rPr>
          <w:color w:val="6E6158"/>
          <w:spacing w:val="35"/>
        </w:rPr>
        <w:t> </w:t>
      </w:r>
      <w:r>
        <w:rPr>
          <w:color w:val="6E6158"/>
        </w:rPr>
        <w:t>rounds,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beyond.</w:t>
      </w:r>
      <w:r>
        <w:rPr>
          <w:color w:val="6E6158"/>
          <w:spacing w:val="35"/>
        </w:rPr>
        <w:t> </w:t>
      </w:r>
      <w:r>
        <w:rPr>
          <w:color w:val="6E6158"/>
        </w:rPr>
        <w:t>His</w:t>
      </w:r>
      <w:r>
        <w:rPr>
          <w:color w:val="6E6158"/>
          <w:spacing w:val="35"/>
        </w:rPr>
        <w:t> </w:t>
      </w:r>
      <w:r>
        <w:rPr>
          <w:color w:val="6E6158"/>
        </w:rPr>
        <w:t>work</w:t>
      </w:r>
      <w:r>
        <w:rPr>
          <w:color w:val="6E6158"/>
          <w:spacing w:val="35"/>
        </w:rPr>
        <w:t> </w:t>
      </w:r>
      <w:r>
        <w:rPr>
          <w:color w:val="6E6158"/>
        </w:rPr>
        <w:t>includes</w:t>
      </w:r>
      <w:r>
        <w:rPr>
          <w:color w:val="6E6158"/>
          <w:spacing w:val="35"/>
        </w:rPr>
        <w:t> </w:t>
      </w:r>
      <w:r>
        <w:rPr>
          <w:color w:val="6E6158"/>
        </w:rPr>
        <w:t>negotiating</w:t>
      </w:r>
      <w:r>
        <w:rPr>
          <w:color w:val="6E6158"/>
          <w:spacing w:val="35"/>
        </w:rPr>
        <w:t> </w:t>
      </w:r>
      <w:r>
        <w:rPr>
          <w:color w:val="6E6158"/>
        </w:rPr>
        <w:t>term</w:t>
      </w:r>
      <w:r>
        <w:rPr>
          <w:color w:val="6E6158"/>
          <w:spacing w:val="35"/>
        </w:rPr>
        <w:t> </w:t>
      </w:r>
      <w:r>
        <w:rPr>
          <w:color w:val="6E6158"/>
        </w:rPr>
        <w:t>sheets,</w:t>
      </w:r>
      <w:r>
        <w:rPr>
          <w:color w:val="6E6158"/>
          <w:spacing w:val="35"/>
        </w:rPr>
        <w:t> </w:t>
      </w:r>
      <w:r>
        <w:rPr>
          <w:color w:val="6E6158"/>
        </w:rPr>
        <w:t>drafting</w:t>
      </w:r>
      <w:r>
        <w:rPr>
          <w:color w:val="6E6158"/>
          <w:spacing w:val="35"/>
        </w:rPr>
        <w:t> </w:t>
      </w:r>
      <w:r>
        <w:rPr>
          <w:color w:val="6E6158"/>
        </w:rPr>
        <w:t>investment</w:t>
      </w:r>
    </w:p>
    <w:p>
      <w:pPr>
        <w:pStyle w:val="BodyText"/>
        <w:spacing w:line="292" w:lineRule="auto" w:before="10"/>
        <w:ind w:left="104" w:right="734"/>
      </w:pPr>
      <w:r>
        <w:rPr>
          <w:color w:val="6E6158"/>
        </w:rPr>
        <w:t>agreements, and advising on governance and exit strategies that position startups for long-</w:t>
      </w:r>
      <w:r>
        <w:rPr>
          <w:color w:val="6E6158"/>
        </w:rPr>
        <w:t>term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success.</w:t>
      </w:r>
    </w:p>
    <w:p>
      <w:pPr>
        <w:pStyle w:val="BodyText"/>
        <w:spacing w:before="196"/>
        <w:ind w:left="104"/>
      </w:pPr>
      <w:r>
        <w:rPr>
          <w:color w:val="6E6158"/>
        </w:rPr>
        <w:t>Zaki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deeply</w:t>
      </w:r>
      <w:r>
        <w:rPr>
          <w:color w:val="6E6158"/>
          <w:spacing w:val="11"/>
        </w:rPr>
        <w:t> </w:t>
      </w:r>
      <w:r>
        <w:rPr>
          <w:color w:val="6E6158"/>
        </w:rPr>
        <w:t>engaged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community,</w:t>
      </w:r>
      <w:r>
        <w:rPr>
          <w:color w:val="6E6158"/>
          <w:spacing w:val="12"/>
        </w:rPr>
        <w:t> </w:t>
      </w:r>
      <w:r>
        <w:rPr>
          <w:color w:val="6E6158"/>
        </w:rPr>
        <w:t>having</w:t>
      </w:r>
      <w:r>
        <w:rPr>
          <w:color w:val="6E6158"/>
          <w:spacing w:val="11"/>
        </w:rPr>
        <w:t> </w:t>
      </w:r>
      <w:r>
        <w:rPr>
          <w:color w:val="6E6158"/>
        </w:rPr>
        <w:t>participated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Metro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Chamber</w:t>
      </w:r>
    </w:p>
    <w:p>
      <w:pPr>
        <w:pStyle w:val="BodyText"/>
        <w:spacing w:line="295" w:lineRule="auto" w:before="52"/>
        <w:ind w:left="104" w:right="580"/>
      </w:pP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Foundation’s</w:t>
      </w:r>
      <w:r>
        <w:rPr>
          <w:color w:val="6E6158"/>
          <w:spacing w:val="31"/>
        </w:rPr>
        <w:t> </w:t>
      </w:r>
      <w:r>
        <w:rPr>
          <w:color w:val="6E6158"/>
        </w:rPr>
        <w:t>Impact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programs.</w:t>
      </w:r>
      <w:r>
        <w:rPr>
          <w:color w:val="6E6158"/>
          <w:spacing w:val="31"/>
        </w:rPr>
        <w:t> </w:t>
      </w:r>
      <w:r>
        <w:rPr>
          <w:color w:val="6E6158"/>
        </w:rPr>
        <w:t>He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also</w:t>
      </w:r>
      <w:r>
        <w:rPr>
          <w:color w:val="6E6158"/>
          <w:spacing w:val="31"/>
        </w:rPr>
        <w:t> </w:t>
      </w:r>
      <w:r>
        <w:rPr>
          <w:color w:val="6E6158"/>
        </w:rPr>
        <w:t>served as a director or trustee on various boards, including the Colorado Bar Association, the Colorado</w:t>
      </w:r>
      <w:r>
        <w:rPr>
          <w:color w:val="6E6158"/>
          <w:spacing w:val="40"/>
        </w:rPr>
        <w:t> </w:t>
      </w:r>
      <w:r>
        <w:rPr>
          <w:color w:val="6E6158"/>
        </w:rPr>
        <w:t>Solar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Storage</w:t>
      </w:r>
      <w:r>
        <w:rPr>
          <w:color w:val="6E6158"/>
          <w:spacing w:val="33"/>
        </w:rPr>
        <w:t> </w:t>
      </w:r>
      <w:r>
        <w:rPr>
          <w:color w:val="6E6158"/>
        </w:rPr>
        <w:t>Association,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Denver</w:t>
      </w:r>
      <w:r>
        <w:rPr>
          <w:color w:val="6E6158"/>
          <w:spacing w:val="33"/>
        </w:rPr>
        <w:t> </w:t>
      </w:r>
      <w:r>
        <w:rPr>
          <w:color w:val="6E6158"/>
        </w:rPr>
        <w:t>Preschool</w:t>
      </w:r>
      <w:r>
        <w:rPr>
          <w:color w:val="6E6158"/>
          <w:spacing w:val="33"/>
        </w:rPr>
        <w:t> </w:t>
      </w:r>
      <w:r>
        <w:rPr>
          <w:color w:val="6E6158"/>
        </w:rPr>
        <w:t>Program,</w:t>
      </w:r>
      <w:r>
        <w:rPr>
          <w:color w:val="6E6158"/>
          <w:spacing w:val="33"/>
        </w:rPr>
        <w:t> </w:t>
      </w:r>
      <w:r>
        <w:rPr>
          <w:color w:val="6E6158"/>
        </w:rPr>
        <w:t>Mullen</w:t>
      </w:r>
      <w:r>
        <w:rPr>
          <w:color w:val="6E6158"/>
          <w:spacing w:val="33"/>
        </w:rPr>
        <w:t> </w:t>
      </w:r>
      <w:r>
        <w:rPr>
          <w:color w:val="6E6158"/>
        </w:rPr>
        <w:t>High</w:t>
      </w:r>
      <w:r>
        <w:rPr>
          <w:color w:val="6E6158"/>
          <w:spacing w:val="33"/>
        </w:rPr>
        <w:t> </w:t>
      </w:r>
      <w:r>
        <w:rPr>
          <w:color w:val="6E6158"/>
        </w:rPr>
        <w:t>School,</w:t>
      </w:r>
      <w:r>
        <w:rPr>
          <w:color w:val="6E6158"/>
          <w:spacing w:val="33"/>
        </w:rPr>
        <w:t> </w:t>
      </w:r>
      <w:r>
        <w:rPr>
          <w:color w:val="6E6158"/>
        </w:rPr>
        <w:t>the Hampden</w:t>
      </w:r>
      <w:r>
        <w:rPr>
          <w:color w:val="6E6158"/>
          <w:spacing w:val="28"/>
        </w:rPr>
        <w:t> </w:t>
      </w:r>
      <w:r>
        <w:rPr>
          <w:color w:val="6E6158"/>
        </w:rPr>
        <w:t>Heights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  <w:r>
        <w:rPr>
          <w:color w:val="6E6158"/>
          <w:spacing w:val="28"/>
        </w:rPr>
        <w:t> </w:t>
      </w:r>
      <w:r>
        <w:rPr>
          <w:color w:val="6E6158"/>
        </w:rPr>
        <w:t>Association,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Back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My</w:t>
      </w:r>
      <w:r>
        <w:rPr>
          <w:color w:val="6E6158"/>
          <w:spacing w:val="28"/>
        </w:rPr>
        <w:t> </w:t>
      </w:r>
      <w:r>
        <w:rPr>
          <w:color w:val="6E6158"/>
        </w:rPr>
        <w:t>Feet</w:t>
      </w:r>
      <w:r>
        <w:rPr>
          <w:color w:val="6E6158"/>
          <w:spacing w:val="28"/>
        </w:rPr>
        <w:t> </w:t>
      </w:r>
      <w:r>
        <w:rPr>
          <w:color w:val="6E6158"/>
        </w:rPr>
        <w:t>Denver.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commitment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</w:p>
    <w:p>
      <w:pPr>
        <w:pStyle w:val="BodyText"/>
        <w:spacing w:line="302" w:lineRule="auto" w:before="1"/>
        <w:ind w:left="104" w:right="734"/>
      </w:pPr>
      <w:r>
        <w:rPr>
          <w:color w:val="6E6158"/>
        </w:rPr>
        <w:t>leadership underscores his dedication to making a positive impact both professionally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personally.</w:t>
      </w:r>
    </w:p>
    <w:p>
      <w:pPr>
        <w:pStyle w:val="BodyText"/>
        <w:spacing w:line="292" w:lineRule="auto" w:before="186"/>
        <w:ind w:left="104" w:right="708"/>
        <w:jc w:val="both"/>
      </w:pPr>
      <w:r>
        <w:rPr>
          <w:color w:val="6E6158"/>
        </w:rPr>
        <w:t>With a multifaceted legal background and a strong sense of community, Zaki Robbins delivers tailored legal solutions that are grounded in a deep understanding of his clients’ industries </w:t>
      </w:r>
      <w:r>
        <w:rPr>
          <w:color w:val="6E6158"/>
        </w:rPr>
        <w:t>and business</w:t>
      </w:r>
      <w:r>
        <w:rPr>
          <w:color w:val="6E6158"/>
          <w:spacing w:val="34"/>
        </w:rPr>
        <w:t> </w:t>
      </w:r>
      <w:r>
        <w:rPr>
          <w:color w:val="6E6158"/>
        </w:rPr>
        <w:t>objectives,</w:t>
      </w:r>
      <w:r>
        <w:rPr>
          <w:color w:val="6E6158"/>
          <w:spacing w:val="34"/>
        </w:rPr>
        <w:t> </w:t>
      </w:r>
      <w:r>
        <w:rPr>
          <w:color w:val="6E6158"/>
        </w:rPr>
        <w:t>making</w:t>
      </w:r>
      <w:r>
        <w:rPr>
          <w:color w:val="6E6158"/>
          <w:spacing w:val="34"/>
        </w:rPr>
        <w:t> </w:t>
      </w:r>
      <w:r>
        <w:rPr>
          <w:color w:val="6E6158"/>
        </w:rPr>
        <w:t>him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trusted</w:t>
      </w:r>
      <w:r>
        <w:rPr>
          <w:color w:val="6E6158"/>
          <w:spacing w:val="34"/>
        </w:rPr>
        <w:t> </w:t>
      </w:r>
      <w:r>
        <w:rPr>
          <w:color w:val="6E6158"/>
        </w:rPr>
        <w:t>partner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achieving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long-term</w:t>
      </w:r>
      <w:r>
        <w:rPr>
          <w:color w:val="6E6158"/>
          <w:spacing w:val="34"/>
        </w:rPr>
        <w:t> </w:t>
      </w:r>
      <w:r>
        <w:rPr>
          <w:color w:val="6E6158"/>
        </w:rPr>
        <w:t>success.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152364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02pt;width:1.65pt;height:1.65pt;mso-position-horizontal-relative:page;mso-position-vertical-relative:paragraph;z-index:15729152" id="docshape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410730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095pt;width:1.65pt;height:1.65pt;mso-position-horizontal-relative:page;mso-position-vertical-relative:paragraph;z-index:15729664" id="docshape8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</w:t>
      </w:r>
      <w:r>
        <w:rPr>
          <w:color w:val="6E6158"/>
        </w:rPr>
        <w:t>Michigan</w:t>
      </w:r>
      <w:r>
        <w:rPr>
          <w:color w:val="6E6158"/>
        </w:rPr>
        <w:t> B.A., University of Virginia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152572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591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416105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214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line="420" w:lineRule="auto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54510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2134pt;width:1.65pt;height:1.65pt;mso-position-horizontal-relative:page;mso-position-vertical-relative:paragraph;z-index:15731200" id="docshape11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312875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35883pt;width:1.65pt;height:1.65pt;mso-position-horizontal-relative:page;mso-position-vertical-relative:paragraph;z-index:15731712" id="docshape12" coordorigin="1675,493" coordsize="33,33" path="m1696,525l1687,525,1683,524,1676,517,1675,513,1675,504,1676,501,1683,494,1687,493,1696,493,1699,494,1706,501,1707,504,1707,509,1707,513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BodyText"/>
        <w:spacing w:line="420" w:lineRule="auto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58668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54pt;width:1.65pt;height:1.65pt;mso-position-horizontal-relative:page;mso-position-vertical-relative:paragraph;z-index:15732224" id="docshape1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317033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3289pt;width:1.65pt;height:1.65pt;mso-position-horizontal-relative:page;mso-position-vertical-relative:paragraph;z-index:15732736" id="docshape14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Real Estate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08" w:lineRule="auto" w:before="137"/>
        <w:ind w:right="40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152856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929pt;width:1.65pt;height:1.65pt;mso-position-horizontal-relative:page;mso-position-vertical-relative:paragraph;z-index:15733248" id="docshape1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411221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9677pt;width:1.65pt;height:1.65pt;mso-position-horizontal-relative:page;mso-position-vertical-relative:paragraph;z-index:15733760" id="docshape16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5280 Magazine</w:t>
        </w:r>
      </w:hyperlink>
      <w:r>
        <w:rPr>
          <w:i/>
          <w:color w:val="F5821F"/>
          <w:sz w:val="20"/>
        </w:rPr>
        <w:t> </w:t>
      </w:r>
      <w:hyperlink r:id="rId11">
        <w:r>
          <w:rPr>
            <w:color w:val="F5821F"/>
          </w:rPr>
          <w:t>Top Securities Lawyer 2022 – 2024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Attorney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Intel: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Top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25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Attorneys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Colorado,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2024</w:t>
        </w:r>
      </w:hyperlink>
    </w:p>
    <w:p>
      <w:pPr>
        <w:pStyle w:val="BodyText"/>
        <w:spacing w:line="292" w:lineRule="auto" w:before="19"/>
        <w:ind w:right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71576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35942pt;width:1.65pt;height:1.65pt;mso-position-horizontal-relative:page;mso-position-vertical-relative:paragraph;z-index:15734272" id="docshape17" coordorigin="1675,113" coordsize="33,33" path="m1696,145l1687,145,1683,144,1676,137,1675,133,1675,124,1676,121,1683,114,1687,113,1696,113,1699,114,1706,121,1707,124,1707,129,1707,133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Best Lawyers® Ones to Watch: Corporate Law, 2023 – 2024; Energy Law and Mergers and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Acquisitions Law, 2024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137793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916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Colorado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Business/Corporate,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2023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2024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170128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959pt;width:1.65pt;height:1.65pt;mso-position-horizontal-relative:page;mso-position-vertical-relative:paragraph;z-index:15735296" id="docshape19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i/>
            <w:color w:val="F5821F"/>
            <w:sz w:val="20"/>
          </w:rPr>
          <w:t>Law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Week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Colorado</w:t>
        </w:r>
      </w:hyperlink>
      <w:r>
        <w:rPr>
          <w:i/>
          <w:color w:val="F5821F"/>
          <w:spacing w:val="-6"/>
          <w:sz w:val="20"/>
        </w:rPr>
        <w:t> </w:t>
      </w:r>
      <w:hyperlink r:id="rId15">
        <w:r>
          <w:rPr>
            <w:color w:val="F5821F"/>
            <w:sz w:val="19"/>
          </w:rPr>
          <w:t>“Barrister’s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Best”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Securities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Lawyer,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pacing w:val="-4"/>
            <w:sz w:val="19"/>
          </w:rPr>
          <w:t>2023</w:t>
        </w:r>
      </w:hyperlink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8" w:lineRule="auto" w:before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808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6">
        <w:r>
          <w:rPr>
            <w:color w:val="F5821F"/>
          </w:rPr>
          <w:t>New Treasury Reporting Rules May Be A Shock To Many Cos.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Law360 Tax Authority</w:t>
      </w:r>
      <w:r>
        <w:rPr>
          <w:color w:val="6E6158"/>
        </w:rPr>
        <w:t>, January 2024</w:t>
      </w:r>
    </w:p>
    <w:p>
      <w:pPr>
        <w:pStyle w:val="BodyText"/>
        <w:spacing w:line="297" w:lineRule="auto" w:before="117"/>
        <w:ind w:right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140500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3046pt;width:1.65pt;height:1.65pt;mso-position-horizontal-relative:page;mso-position-vertical-relative:paragraph;z-index:15736320" id="docshape21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7">
        <w:r>
          <w:rPr>
            <w:color w:val="F5821F"/>
          </w:rPr>
          <w:t>Corporate Transparency Act and Beneficial Ownership Reporting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Firm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 January 2024</w:t>
      </w:r>
    </w:p>
    <w:p>
      <w:pPr>
        <w:spacing w:line="278" w:lineRule="auto" w:before="107"/>
        <w:ind w:left="356" w:right="73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134084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7819pt;width:1.65pt;height:1.65pt;mso-position-horizontal-relative:page;mso-position-vertical-relative:paragraph;z-index:15736832" id="docshape22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</w:t>
      </w:r>
      <w:hyperlink r:id="rId18">
        <w:r>
          <w:rPr>
            <w:color w:val="F5821F"/>
            <w:sz w:val="19"/>
          </w:rPr>
          <w:t>Energize Denver: Moving toward a more sustainable Denver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spacing w:after="0" w:line="278" w:lineRule="auto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344" id="docshape2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9">
        <w:r>
          <w:rPr>
            <w:color w:val="F5821F"/>
          </w:rPr>
          <w:t>Client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Alert: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Beneficial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Ownership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Reporting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How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Affects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2"/>
          </w:rPr>
          <w:t>Owners</w:t>
        </w:r>
      </w:hyperlink>
      <w:r>
        <w:rPr>
          <w:color w:val="6E6158"/>
          <w:spacing w:val="-2"/>
        </w:rPr>
        <w:t>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Firm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April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173810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589pt;width:1.65pt;height:1.65pt;mso-position-horizontal-relative:page;mso-position-vertical-relative:paragraph;z-index:15737856" id="docshape2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20">
        <w:r>
          <w:rPr>
            <w:color w:val="F5821F"/>
          </w:rPr>
          <w:t>EVs,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Supply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Chains,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Infrastructure: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4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Renewable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Energy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Trends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Watch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2022</w:t>
        </w:r>
      </w:hyperlink>
      <w:r>
        <w:rPr>
          <w:color w:val="6E6158"/>
          <w:spacing w:val="-2"/>
        </w:rPr>
        <w:t>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Renewable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Energy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World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February</w:t>
      </w:r>
      <w:r>
        <w:rPr>
          <w:color w:val="6E6158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152457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55pt;width:1.65pt;height:1.65pt;mso-position-horizontal-relative:page;mso-position-vertical-relative:paragraph;z-index:15738368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right="40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170187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595pt;width:1.65pt;height:1.65pt;mso-position-horizontal-relative:page;mso-position-vertical-relative:paragraph;z-index:15738880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433720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218pt;width:1.65pt;height:1.65pt;mso-position-horizontal-relative:page;mso-position-vertical-relative:paragraph;z-index:15739392" id="docshape2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Executive Council 2019 – </w:t>
      </w:r>
      <w:r>
        <w:rPr>
          <w:color w:val="6E6158"/>
        </w:rPr>
        <w:t>2021 Colorado Bar Foundation, Bar Fellow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54980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9138pt;width:1.65pt;height:1.65pt;mso-position-horizontal-relative:page;mso-position-vertical-relative:paragraph;z-index:15739904" id="docshape28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</w:rPr>
        <w:t>Mentorship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5"/>
        </w:rPr>
        <w:t> </w:t>
      </w:r>
      <w:r>
        <w:rPr>
          <w:color w:val="6E6158"/>
        </w:rPr>
        <w:t>2020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420" w:lineRule="auto" w:before="174"/>
        <w:ind w:right="19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170137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651pt;width:1.65pt;height:1.65pt;mso-position-horizontal-relative:page;mso-position-vertical-relative:paragraph;z-index:15740416" id="docshape29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428503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0402pt;width:1.65pt;height:1.65pt;mso-position-horizontal-relative:page;mso-position-vertical-relative:paragraph;z-index:15740928" id="docshape30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Solar and Storage Association, Board Member and </w:t>
      </w:r>
      <w:r>
        <w:rPr>
          <w:color w:val="6E6158"/>
        </w:rPr>
        <w:t>Secretary Colorado Water Trust, Tributary</w:t>
      </w:r>
    </w:p>
    <w:p>
      <w:pPr>
        <w:pStyle w:val="BodyText"/>
        <w:spacing w:line="292" w:lineRule="auto" w:before="7"/>
        <w:ind w:right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63805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057pt;width:1.65pt;height:1.65pt;mso-position-horizontal-relative:page;mso-position-vertical-relative:paragraph;z-index:15741440" id="docshape3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Metro Chamber Leadership Foundation, Leadership Denver, 2023; Impact </w:t>
      </w:r>
      <w:r>
        <w:rPr>
          <w:color w:val="6E6158"/>
        </w:rPr>
        <w:t>Denver, Spring 2019</w:t>
      </w:r>
    </w:p>
    <w:p>
      <w:pPr>
        <w:pStyle w:val="BodyText"/>
        <w:spacing w:line="427" w:lineRule="auto" w:before="123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137642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1pt;width:1.65pt;height:1.65pt;mso-position-horizontal-relative:page;mso-position-vertical-relative:paragraph;z-index:15741952" id="docshape3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401175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8655pt;width:1.65pt;height:1.65pt;mso-position-horizontal-relative:page;mso-position-vertical-relative:paragraph;z-index:15742464" id="docshape33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Preschool Program, Board </w:t>
      </w:r>
      <w:r>
        <w:rPr>
          <w:color w:val="6E6158"/>
        </w:rPr>
        <w:t>Member Mullen High School, Board of Trustees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54820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6574pt;width:1.65pt;height:1.65pt;mso-position-horizontal-relative:page;mso-position-vertical-relative:paragraph;z-index:15742976" id="docshape34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Sam</w:t>
      </w:r>
      <w:r>
        <w:rPr>
          <w:color w:val="6E6158"/>
          <w:spacing w:val="9"/>
        </w:rPr>
        <w:t> </w:t>
      </w:r>
      <w:r>
        <w:rPr>
          <w:color w:val="6E6158"/>
        </w:rPr>
        <w:t>Carey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187" w:right="82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152616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025pt;width:1.65pt;height:1.65pt;mso-position-horizontal-relative:page;mso-position-vertical-relative:paragraph;z-index:15743488" id="docshape3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410981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0775pt;width:1.65pt;height:1.65pt;mso-position-horizontal-relative:page;mso-position-vertical-relative:paragraph;z-index:15744000" id="docshape36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zrobbins@fennemorelaw.com" TargetMode="External"/><Relationship Id="rId11" Type="http://schemas.openxmlformats.org/officeDocument/2006/relationships/hyperlink" Target="https://www.moyewhite.com/news-insights/newsroom/press-releases/2024/five-attorneys-named-top-lawyers-by-5280-magazine" TargetMode="External"/><Relationship Id="rId12" Type="http://schemas.openxmlformats.org/officeDocument/2006/relationships/hyperlink" Target="https://attorneyintel.com/the-top-25-attorneys-of-colorado-for-2024/" TargetMode="External"/><Relationship Id="rId13" Type="http://schemas.openxmlformats.org/officeDocument/2006/relationships/hyperlink" Target="https://www.bestlawyers.com/lawyers/zaki-robbins/275613" TargetMode="External"/><Relationship Id="rId14" Type="http://schemas.openxmlformats.org/officeDocument/2006/relationships/hyperlink" Target="https://profiles.superlawyers.com/colorado/denver/lawyer/zaki-robbins/5f09a006-a5e3-4460-873a-5579628d2155.html" TargetMode="External"/><Relationship Id="rId15" Type="http://schemas.openxmlformats.org/officeDocument/2006/relationships/hyperlink" Target="https://www.moyewhite.com/news-insights/newsroom/press-releases/2023/partners-white-and-robbins-voted-barrister%E2%80%99s-best" TargetMode="External"/><Relationship Id="rId16" Type="http://schemas.openxmlformats.org/officeDocument/2006/relationships/hyperlink" Target="https://www.moyewhite.com/news-insights/newsroom/in-the-news/2024/robbins-quoted-in-law360-tax-authority?viewmode=0" TargetMode="External"/><Relationship Id="rId17" Type="http://schemas.openxmlformats.org/officeDocument/2006/relationships/hyperlink" Target="https://www.moyewhite.com/news-insights/blog/2024%2C-january/corporate-transparency-act-and-benefi" TargetMode="External"/><Relationship Id="rId18" Type="http://schemas.openxmlformats.org/officeDocument/2006/relationships/hyperlink" Target="https://www.moyewhite.com/news-insights/blog/december-2023/robbins-and-kelley-discuss-energize-denver-ordinan" TargetMode="External"/><Relationship Id="rId19" Type="http://schemas.openxmlformats.org/officeDocument/2006/relationships/hyperlink" Target="https://www.moyewhite.com/news-insights/blog/april-2023/client-alert-beneficial-ownership-reporting-and-ho" TargetMode="External"/><Relationship Id="rId20" Type="http://schemas.openxmlformats.org/officeDocument/2006/relationships/hyperlink" Target="https://www.renewableenergyworld.com/solar/evs-supply-chains-and-infrastructure-4-renewable-energy-trends-to-watch-in-2022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2024-12-04T08:24:48Z</dcterms:created>
  <dcterms:modified xsi:type="dcterms:W3CDTF">2024-12-04T08:24:48Z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