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BART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BOTTA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949.430.3422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bbotta@fennemorelaw.com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BART</w:t>
                        </w:r>
                        <w:r>
                          <w:rPr>
                            <w:color w:val="FFFFFF"/>
                            <w:spacing w:val="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</w:t>
                        </w:r>
                        <w:r>
                          <w:rPr>
                            <w:color w:val="FFFFFF"/>
                            <w:spacing w:val="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BOTTA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949.430.3422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bbotta@fennemorelaw.com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BART</w:t>
      </w:r>
      <w:r>
        <w:rPr>
          <w:color w:val="FF8100"/>
          <w:spacing w:val="5"/>
        </w:rPr>
        <w:t> </w:t>
      </w:r>
      <w:r>
        <w:rPr>
          <w:color w:val="FF8100"/>
        </w:rPr>
        <w:t>M.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BOTTA</w:t>
      </w:r>
    </w:p>
    <w:p>
      <w:pPr>
        <w:pStyle w:val="BodyText"/>
        <w:spacing w:line="295" w:lineRule="auto" w:before="147"/>
        <w:ind w:left="104" w:right="555"/>
      </w:pPr>
      <w:r>
        <w:rPr>
          <w:color w:val="6E6158"/>
        </w:rPr>
        <w:t>Bart</w:t>
      </w:r>
      <w:r>
        <w:rPr>
          <w:color w:val="6E6158"/>
          <w:spacing w:val="20"/>
        </w:rPr>
        <w:t> </w:t>
      </w:r>
      <w:r>
        <w:rPr>
          <w:color w:val="6E6158"/>
        </w:rPr>
        <w:t>M.</w:t>
      </w:r>
      <w:r>
        <w:rPr>
          <w:color w:val="6E6158"/>
          <w:spacing w:val="20"/>
        </w:rPr>
        <w:t> </w:t>
      </w:r>
      <w:r>
        <w:rPr>
          <w:color w:val="6E6158"/>
        </w:rPr>
        <w:t>Botta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director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our</w:t>
      </w:r>
      <w:r>
        <w:rPr>
          <w:color w:val="6E6158"/>
          <w:spacing w:val="20"/>
        </w:rPr>
        <w:t> </w:t>
      </w:r>
      <w:r>
        <w:rPr>
          <w:color w:val="6E6158"/>
        </w:rPr>
        <w:t>Irvine</w:t>
      </w:r>
      <w:r>
        <w:rPr>
          <w:color w:val="6E6158"/>
          <w:spacing w:val="20"/>
        </w:rPr>
        <w:t> </w:t>
      </w:r>
      <w:r>
        <w:rPr>
          <w:color w:val="6E6158"/>
        </w:rPr>
        <w:t>office</w:t>
      </w:r>
      <w:r>
        <w:rPr>
          <w:color w:val="6E6158"/>
          <w:spacing w:val="20"/>
        </w:rPr>
        <w:t> </w:t>
      </w:r>
      <w:r>
        <w:rPr>
          <w:color w:val="6E6158"/>
        </w:rPr>
        <w:t>who</w:t>
      </w:r>
      <w:r>
        <w:rPr>
          <w:color w:val="6E6158"/>
          <w:spacing w:val="20"/>
        </w:rPr>
        <w:t> </w:t>
      </w:r>
      <w:r>
        <w:rPr>
          <w:color w:val="6E6158"/>
        </w:rPr>
        <w:t>works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our</w:t>
      </w:r>
      <w:r>
        <w:rPr>
          <w:color w:val="6E6158"/>
          <w:spacing w:val="20"/>
        </w:rPr>
        <w:t> </w:t>
      </w:r>
      <w:r>
        <w:rPr>
          <w:color w:val="6E6158"/>
        </w:rPr>
        <w:t>Agribusiness</w:t>
      </w:r>
      <w:r>
        <w:rPr>
          <w:color w:val="6E6158"/>
          <w:spacing w:val="20"/>
        </w:rPr>
        <w:t> </w:t>
      </w:r>
      <w:r>
        <w:rPr>
          <w:color w:val="6E6158"/>
        </w:rPr>
        <w:t>Law</w:t>
      </w:r>
      <w:r>
        <w:rPr>
          <w:color w:val="6E6158"/>
          <w:spacing w:val="20"/>
        </w:rPr>
        <w:t> </w:t>
      </w:r>
      <w:r>
        <w:rPr>
          <w:color w:val="6E6158"/>
        </w:rPr>
        <w:t>Practice</w:t>
      </w:r>
      <w:r>
        <w:rPr>
          <w:color w:val="6E6158"/>
          <w:spacing w:val="20"/>
        </w:rPr>
        <w:t> </w:t>
      </w:r>
      <w:r>
        <w:rPr>
          <w:color w:val="6E6158"/>
        </w:rPr>
        <w:t>Group. He is involved in all aspects of proceedings arising under the PACA and the California Food and</w:t>
      </w:r>
      <w:r>
        <w:rPr>
          <w:color w:val="6E6158"/>
          <w:spacing w:val="40"/>
        </w:rPr>
        <w:t> </w:t>
      </w:r>
      <w:r>
        <w:rPr>
          <w:color w:val="6E6158"/>
        </w:rPr>
        <w:t>Agricultural Code. Bart maintains relationships with long-term produce companies, and works</w:t>
      </w:r>
      <w:r>
        <w:rPr>
          <w:color w:val="6E6158"/>
          <w:spacing w:val="40"/>
        </w:rPr>
        <w:t> </w:t>
      </w:r>
      <w:r>
        <w:rPr>
          <w:color w:val="6E6158"/>
        </w:rPr>
        <w:t>closely with members of Western Growers in handling matters from PACA trust enforcement, federal and appellate court litigation, marketing agreements and general agricultural law,</w:t>
      </w:r>
      <w:r>
        <w:rPr>
          <w:color w:val="6E6158"/>
          <w:spacing w:val="40"/>
        </w:rPr>
        <w:t> </w:t>
      </w:r>
      <w:r>
        <w:rPr>
          <w:color w:val="6E6158"/>
        </w:rPr>
        <w:t>business transactions, commercial litigation, California Department of Food and Agriculture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USDA administrative proceedings.</w:t>
      </w:r>
    </w:p>
    <w:p>
      <w:pPr>
        <w:pStyle w:val="BodyText"/>
        <w:spacing w:line="295" w:lineRule="auto" w:before="199"/>
        <w:ind w:left="104" w:right="651"/>
      </w:pPr>
      <w:r>
        <w:rPr>
          <w:color w:val="6E6158"/>
        </w:rPr>
        <w:t>Bart previously served as the Co-Chair of the Agribusiness Committee of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California’s Business Law Section. He has been the attorney on several published appellate</w:t>
      </w:r>
      <w:r>
        <w:rPr>
          <w:color w:val="6E6158"/>
          <w:spacing w:val="40"/>
        </w:rPr>
        <w:t> </w:t>
      </w:r>
      <w:r>
        <w:rPr>
          <w:color w:val="6E6158"/>
        </w:rPr>
        <w:t>judicial case decisions interpreting issues under the PACA, and also has a published law review</w:t>
      </w:r>
      <w:r>
        <w:rPr>
          <w:color w:val="6E6158"/>
          <w:spacing w:val="40"/>
        </w:rPr>
        <w:t> </w:t>
      </w:r>
      <w:r>
        <w:rPr>
          <w:color w:val="6E6158"/>
        </w:rPr>
        <w:t>article on the PACA.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60490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63016pt;width:1.65pt;height:1.65pt;mso-position-horizontal-relative:page;mso-position-vertical-relative:paragraph;z-index:15729152" id="docshape7" coordorigin="1675,95" coordsize="33,33" path="m1696,128l1687,128,1683,126,1676,120,1675,116,1675,107,1676,103,1683,97,1687,95,1696,95,1699,97,1706,103,1707,107,1707,112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152386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902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Washburn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4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91170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178785pt;width:1.65pt;height:1.65pt;mso-position-horizontal-relative:page;mso-position-vertical-relative:paragraph;z-index:15730176" id="docshape9" coordorigin="1927,144" coordsize="33,33" path="m1948,176l1939,176,1935,175,1929,168,1927,164,1927,155,1929,152,1935,145,1939,144,1948,144,1952,145,1958,152,1960,155,1960,160,1960,164,1958,168,1952,175,1948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Editor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Member,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Washburn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line="427" w:lineRule="auto" w:before="171"/>
        <w:ind w:left="609" w:right="11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168424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3.261792pt;width:1.65pt;height:1.65pt;mso-position-horizontal-relative:page;mso-position-vertical-relative:paragraph;z-index:15730688" id="docshape10" coordorigin="1927,265" coordsize="33,33" path="m1948,298l1939,298,1935,296,1929,290,1927,286,1927,277,1929,273,1935,267,1939,265,1948,265,1952,267,1958,273,1960,277,1960,282,1960,286,1958,290,1952,296,1948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431957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34.012417pt;width:1.65pt;height:1.65pt;mso-position-horizontal-relative:page;mso-position-vertical-relative:paragraph;z-index:15731200" id="docshape11" coordorigin="1927,680" coordsize="33,33" path="m1948,713l1939,713,1935,711,1929,705,1927,701,1927,692,1929,688,1935,682,1939,680,1948,680,1952,682,1958,688,1960,692,1960,697,1960,701,1958,705,1952,711,1948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American Jurisprudence Award in Research and Writing, and </w:t>
      </w:r>
      <w:r>
        <w:rPr>
          <w:color w:val="6E6158"/>
        </w:rPr>
        <w:t>Torts Recipient, Tax Law Proficiency Certificate</w:t>
      </w:r>
    </w:p>
    <w:p>
      <w:pPr>
        <w:spacing w:line="228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55122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40335pt;width:1.65pt;height:1.65pt;mso-position-horizontal-relative:page;mso-position-vertical-relative:paragraph;z-index:15731712" id="docshape12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Seton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Hall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0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91371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194602pt;width:1.65pt;height:1.65pt;mso-position-horizontal-relative:page;mso-position-vertical-relative:paragraph;z-index:15732224" id="docshape13" coordorigin="1927,144" coordsize="33,33" path="m1948,176l1939,176,1935,175,1929,168,1927,165,1927,156,1929,152,1935,145,1939,144,1948,144,1952,145,1958,152,1960,156,1960,160,1960,165,1958,168,1952,175,1948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8"/>
        </w:rPr>
        <w:t> </w:t>
      </w:r>
      <w:r>
        <w:rPr>
          <w:color w:val="6E6158"/>
        </w:rPr>
        <w:t>Delta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Phi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59951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0584pt;width:1.65pt;height:1.65pt;mso-position-horizontal-relative:page;mso-position-vertical-relative:paragraph;z-index:15732736" id="docshape1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4"/>
        </w:rPr>
        <w:t>PACA</w:t>
      </w:r>
    </w:p>
    <w:p>
      <w:pPr>
        <w:pStyle w:val="BodyText"/>
        <w:spacing w:line="427" w:lineRule="auto"/>
        <w:ind w:right="4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169756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629pt;width:1.65pt;height:1.65pt;mso-position-horizontal-relative:page;mso-position-vertical-relative:paragraph;z-index:15733248" id="docshape1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433289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7252pt;width:1.65pt;height:1.65pt;mso-position-horizontal-relative:page;mso-position-vertical-relative:paragraph;z-index:15733760" id="docshape1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and Federal Court </w:t>
      </w:r>
      <w:r>
        <w:rPr>
          <w:color w:val="6E6158"/>
        </w:rPr>
        <w:t>Litigation Administrative Proceedings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4784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175070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065pt;width:1.65pt;height:1.65pt;mso-position-horizontal-relative:page;mso-position-vertical-relative:paragraph;z-index:15735296" id="docshape1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Orange</w:t>
      </w:r>
      <w:r>
        <w:rPr>
          <w:color w:val="6E6158"/>
          <w:spacing w:val="8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169940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109pt;width:1.65pt;height:1.65pt;mso-position-horizontal-relative:page;mso-position-vertical-relative:paragraph;z-index:15735808" id="docshape2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Alternate Advisory Board Member, California Department of Food &amp; Agriculture, Market Enforcement Branch</w:t>
      </w:r>
    </w:p>
    <w:p>
      <w:pPr>
        <w:pStyle w:val="BodyText"/>
        <w:spacing w:line="302" w:lineRule="auto" w:before="123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137732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082pt;width:1.65pt;height:1.65pt;mso-position-horizontal-relative:page;mso-position-vertical-relative:paragraph;z-index:15736320" id="docshape21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Co-Chair of the Agribusiness Committee; Business Law Section, California </w:t>
      </w:r>
      <w:r>
        <w:rPr>
          <w:color w:val="6E6158"/>
        </w:rPr>
        <w:t>Lawyers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7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973pt;width:1.65pt;height:1.65pt;mso-position-horizontal-relative:page;mso-position-vertical-relative:paragraph;z-index:15736832" id="docshape2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Featuring, “A Conversation On Leadership &amp; Life In The Law With Attorney Bart </w:t>
        </w:r>
        <w:r>
          <w:rPr>
            <w:color w:val="F5821F"/>
          </w:rPr>
          <w:t>Botta,”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Fennemore Blog, January 19, 2023</w:t>
        </w:r>
      </w:hyperlink>
    </w:p>
    <w:p>
      <w:pPr>
        <w:pStyle w:val="BodyText"/>
        <w:spacing w:line="292" w:lineRule="auto" w:before="131"/>
        <w:ind w:right="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142885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821pt;width:1.65pt;height:1.65pt;mso-position-horizontal-relative:page;mso-position-vertical-relative:paragraph;z-index:15737344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“As 90-year-old Law Draws SCOTUS Attention, Billions of Producers Dollars on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Line,” The Business Journal, March 1, 2023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137982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794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Potato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Sales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Dept.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Agriculture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92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F.3d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800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1996)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168882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801pt;width:1.65pt;height:1.65pt;mso-position-horizontal-relative:page;mso-position-vertical-relative:paragraph;z-index:15738368" id="docshape25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Tanimura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Antle,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Packed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Fresh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Produce,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222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F.3d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132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(3rd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10"/>
          <w:sz w:val="19"/>
        </w:rPr>
        <w:t> </w:t>
      </w:r>
      <w:r>
        <w:rPr>
          <w:color w:val="6E6158"/>
          <w:spacing w:val="-2"/>
          <w:sz w:val="19"/>
        </w:rPr>
        <w:t>2000)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173833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7683pt;width:1.65pt;height:1.65pt;mso-position-horizontal-relative:page;mso-position-vertical-relative:paragraph;z-index:15738880" id="docshape26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Patterson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Frozen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Foods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Crown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Foods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Int’l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307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F.3d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666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(7th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2002)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168537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069pt;width:1.65pt;height:1.65pt;mso-position-horizontal-relative:page;mso-position-vertical-relative:paragraph;z-index:15739392" id="docshape2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Koam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Produce,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DiMare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Homestead,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329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F.3d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123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(2nd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2"/>
          <w:sz w:val="19"/>
        </w:rPr>
        <w:t>2003)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168321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3697pt;width:1.65pt;height:1.65pt;mso-position-horizontal-relative:page;mso-position-vertical-relative:paragraph;z-index:15739904" id="docshape2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Morillion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Royal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Packing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22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575;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995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139;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Rptr.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3</w:t>
      </w:r>
      <w:r>
        <w:rPr>
          <w:color w:val="6E6158"/>
          <w:spacing w:val="-2"/>
          <w:sz w:val="19"/>
        </w:rPr>
        <w:t> (2000)</w:t>
      </w:r>
    </w:p>
    <w:p>
      <w:pPr>
        <w:pStyle w:val="BodyText"/>
        <w:spacing w:line="302" w:lineRule="auto" w:before="172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168741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704pt;width:1.65pt;height:1.65pt;mso-position-horizontal-relative:page;mso-position-vertical-relative:paragraph;z-index:15740416" id="docshape2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Bartholomew M. Botta, Personal Liability for Corporate Debts: The Reach of the </w:t>
      </w:r>
      <w:r>
        <w:rPr>
          <w:color w:val="6E6158"/>
        </w:rPr>
        <w:t>Perishable </w:t>
      </w:r>
      <w:r>
        <w:rPr>
          <w:color w:val="6E6158"/>
          <w:spacing w:val="-2"/>
        </w:rPr>
        <w:t>Agricultural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131136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736pt;width:1.65pt;height:1.65pt;mso-position-horizontal-relative:page;mso-position-vertical-relative:paragraph;z-index:15740928" id="docshape30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Commodities</w:t>
      </w:r>
      <w:r>
        <w:rPr>
          <w:color w:val="6E6158"/>
          <w:spacing w:val="12"/>
        </w:rPr>
        <w:t> </w:t>
      </w:r>
      <w:r>
        <w:rPr>
          <w:color w:val="6E6158"/>
        </w:rPr>
        <w:t>Act</w:t>
      </w:r>
      <w:r>
        <w:rPr>
          <w:color w:val="6E6158"/>
          <w:spacing w:val="13"/>
        </w:rPr>
        <w:t> </w:t>
      </w:r>
      <w:r>
        <w:rPr>
          <w:color w:val="6E6158"/>
        </w:rPr>
        <w:t>Continues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Expand,</w:t>
      </w:r>
      <w:r>
        <w:rPr>
          <w:color w:val="6E6158"/>
          <w:spacing w:val="12"/>
        </w:rPr>
        <w:t> </w:t>
      </w:r>
      <w:r>
        <w:rPr>
          <w:color w:val="6E6158"/>
        </w:rPr>
        <w:t>2</w:t>
      </w:r>
      <w:r>
        <w:rPr>
          <w:color w:val="6E6158"/>
          <w:spacing w:val="13"/>
        </w:rPr>
        <w:t> </w:t>
      </w:r>
      <w:r>
        <w:rPr>
          <w:color w:val="6E6158"/>
        </w:rPr>
        <w:t>Drake</w:t>
      </w:r>
      <w:r>
        <w:rPr>
          <w:color w:val="6E6158"/>
          <w:spacing w:val="13"/>
        </w:rPr>
        <w:t> </w:t>
      </w:r>
      <w:r>
        <w:rPr>
          <w:color w:val="6E6158"/>
        </w:rPr>
        <w:t>J.Agric.L.</w:t>
      </w:r>
      <w:r>
        <w:rPr>
          <w:color w:val="6E6158"/>
          <w:spacing w:val="12"/>
        </w:rPr>
        <w:t> </w:t>
      </w:r>
      <w:r>
        <w:rPr>
          <w:color w:val="6E6158"/>
        </w:rPr>
        <w:t>339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(1997)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152460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748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175357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667pt;width:1.65pt;height:1.65pt;mso-position-horizontal-relative:page;mso-position-vertical-relative:paragraph;z-index:15741952" id="docshape3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170227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711pt;width:1.65pt;height:1.65pt;mso-position-horizontal-relative:page;mso-position-vertical-relative:paragraph;z-index:15742464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170176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755pt;width:1.65pt;height:1.65pt;mso-position-horizontal-relative:page;mso-position-vertical-relative:paragraph;z-index:15742976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170126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8pt;width:1.65pt;height:1.65pt;mso-position-horizontal-relative:page;mso-position-vertical-relative:paragraph;z-index:15743488" id="docshape35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175243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718pt;width:1.65pt;height:1.65pt;mso-position-horizontal-relative:page;mso-position-vertical-relative:paragraph;z-index:15744000" id="docshape3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First,</w:t>
      </w:r>
      <w:r>
        <w:rPr>
          <w:color w:val="6E6158"/>
          <w:spacing w:val="10"/>
        </w:rPr>
        <w:t> </w:t>
      </w:r>
      <w:r>
        <w:rPr>
          <w:color w:val="6E6158"/>
        </w:rPr>
        <w:t>Second,</w:t>
      </w:r>
      <w:r>
        <w:rPr>
          <w:color w:val="6E6158"/>
          <w:spacing w:val="10"/>
        </w:rPr>
        <w:t> </w:t>
      </w:r>
      <w:r>
        <w:rPr>
          <w:color w:val="6E6158"/>
        </w:rPr>
        <w:t>Third,</w:t>
      </w:r>
      <w:r>
        <w:rPr>
          <w:color w:val="6E6158"/>
          <w:spacing w:val="10"/>
        </w:rPr>
        <w:t> </w:t>
      </w:r>
      <w:r>
        <w:rPr>
          <w:color w:val="6E6158"/>
        </w:rPr>
        <w:t>Fifth,</w:t>
      </w:r>
      <w:r>
        <w:rPr>
          <w:color w:val="6E6158"/>
          <w:spacing w:val="11"/>
        </w:rPr>
        <w:t> </w:t>
      </w:r>
      <w:r>
        <w:rPr>
          <w:color w:val="6E6158"/>
        </w:rPr>
        <w:t>Seventh,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Circuits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mailto:bbotta@fennemorelaw.com" TargetMode="External"/><Relationship Id="rId11" Type="http://schemas.openxmlformats.org/officeDocument/2006/relationships/hyperlink" Target="https://www.fennemorelaw.com/i-am-constantly-learning-from-client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2025-01-06T16:57:37Z</dcterms:created>
  <dcterms:modified xsi:type="dcterms:W3CDTF">2025-01-06T16:57:37Z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