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0899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0768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076825"/>
                          <a:chExt cx="6066790" cy="50768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92798" y="763308"/>
                            <a:ext cx="112712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BRETT 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GILMORE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602.916.5345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86751" y="2763906"/>
                            <a:ext cx="15392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bgilmore@fennemorelaw.com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94240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63443" y="4019563"/>
                            <a:ext cx="335597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leading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rule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lawyer...is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diligence.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Leave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nothing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tomorrow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which can be done today.</w:t>
                              </w:r>
                            </w:p>
                            <w:p>
                              <w:pPr>
                                <w:spacing w:before="1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-Abraham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Lincoln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94240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9.75pt;mso-position-horizontal-relative:page;mso-position-vertical-relative:page;z-index:-15807488" id="docshapegroup1" coordorigin="1341,560" coordsize="9554,7995">
                <v:rect style="position:absolute;left:1341;top:5955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29;top:1762;width:1775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BRETT 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GILMORE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602.916.5345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602.916.5545</w:t>
                        </w:r>
                      </w:p>
                    </w:txbxContent>
                  </v:textbox>
                  <w10:wrap type="none"/>
                </v:shape>
                <v:shape style="position:absolute;left:7304;top:4912;width:2424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bgilmore@fennemorelaw.com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76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88;top:6890;width:5285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leading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rule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lawyer...is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diligence.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Leave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nothing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tomorrow </w:t>
                        </w:r>
                        <w:r>
                          <w:rPr>
                            <w:color w:val="FFFFFF"/>
                            <w:sz w:val="16"/>
                          </w:rPr>
                          <w:t>which can be done today.</w:t>
                        </w:r>
                      </w:p>
                      <w:p>
                        <w:pPr>
                          <w:spacing w:before="1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-Abraham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Lincoln</w:t>
                        </w:r>
                      </w:p>
                    </w:txbxContent>
                  </v:textbox>
                  <w10:wrap type="none"/>
                </v:shape>
                <v:shape style="position:absolute;left:8986;top:6768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36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BRETT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2"/>
          <w:sz w:val="24"/>
        </w:rPr>
        <w:t>GILMORE</w:t>
      </w:r>
    </w:p>
    <w:p>
      <w:pPr>
        <w:pStyle w:val="BodyText"/>
        <w:spacing w:line="302" w:lineRule="auto" w:before="147"/>
        <w:ind w:left="104" w:right="489"/>
      </w:pPr>
      <w:r>
        <w:rPr>
          <w:color w:val="6E6158"/>
        </w:rPr>
        <w:t>Brett Gilmore provides high-powered representation in the firm’s business litigation practice</w:t>
      </w:r>
      <w:r>
        <w:rPr>
          <w:color w:val="6E6158"/>
          <w:spacing w:val="40"/>
        </w:rPr>
        <w:t> </w:t>
      </w:r>
      <w:r>
        <w:rPr>
          <w:color w:val="6E6158"/>
        </w:rPr>
        <w:t>group.</w:t>
      </w:r>
      <w:r>
        <w:rPr>
          <w:color w:val="6E6158"/>
          <w:spacing w:val="16"/>
        </w:rPr>
        <w:t> </w:t>
      </w:r>
      <w:r>
        <w:rPr>
          <w:color w:val="6E6158"/>
        </w:rPr>
        <w:t>His</w:t>
      </w:r>
      <w:r>
        <w:rPr>
          <w:color w:val="6E6158"/>
          <w:spacing w:val="16"/>
        </w:rPr>
        <w:t> </w:t>
      </w:r>
      <w:r>
        <w:rPr>
          <w:color w:val="6E6158"/>
        </w:rPr>
        <w:t>practice</w:t>
      </w:r>
      <w:r>
        <w:rPr>
          <w:color w:val="6E6158"/>
          <w:spacing w:val="16"/>
        </w:rPr>
        <w:t> </w:t>
      </w:r>
      <w:r>
        <w:rPr>
          <w:color w:val="6E6158"/>
        </w:rPr>
        <w:t>covers</w:t>
      </w:r>
      <w:r>
        <w:rPr>
          <w:color w:val="6E6158"/>
          <w:spacing w:val="16"/>
        </w:rPr>
        <w:t> </w:t>
      </w:r>
      <w:r>
        <w:rPr>
          <w:color w:val="6E6158"/>
        </w:rPr>
        <w:t>many</w:t>
      </w:r>
      <w:r>
        <w:rPr>
          <w:color w:val="6E6158"/>
          <w:spacing w:val="16"/>
        </w:rPr>
        <w:t> </w:t>
      </w:r>
      <w:r>
        <w:rPr>
          <w:color w:val="6E6158"/>
        </w:rPr>
        <w:t>areas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civil</w:t>
      </w:r>
      <w:r>
        <w:rPr>
          <w:color w:val="6E6158"/>
          <w:spacing w:val="16"/>
        </w:rPr>
        <w:t> </w:t>
      </w:r>
      <w:r>
        <w:rPr>
          <w:color w:val="6E6158"/>
        </w:rPr>
        <w:t>litigation,</w:t>
      </w:r>
      <w:r>
        <w:rPr>
          <w:color w:val="6E6158"/>
          <w:spacing w:val="16"/>
        </w:rPr>
        <w:t> </w:t>
      </w:r>
      <w:r>
        <w:rPr>
          <w:color w:val="6E6158"/>
        </w:rPr>
        <w:t>including</w:t>
      </w:r>
      <w:r>
        <w:rPr>
          <w:color w:val="6E6158"/>
          <w:spacing w:val="16"/>
        </w:rPr>
        <w:t> </w:t>
      </w:r>
      <w:r>
        <w:rPr>
          <w:color w:val="6E6158"/>
        </w:rPr>
        <w:t>business</w:t>
      </w:r>
      <w:r>
        <w:rPr>
          <w:color w:val="6E6158"/>
          <w:spacing w:val="16"/>
        </w:rPr>
        <w:t> </w:t>
      </w:r>
      <w:r>
        <w:rPr>
          <w:color w:val="6E6158"/>
        </w:rPr>
        <w:t>disputes,</w:t>
      </w:r>
      <w:r>
        <w:rPr>
          <w:color w:val="6E6158"/>
          <w:spacing w:val="16"/>
        </w:rPr>
        <w:t> </w:t>
      </w:r>
      <w:r>
        <w:rPr>
          <w:color w:val="6E6158"/>
        </w:rPr>
        <w:t>restrictive</w:t>
      </w:r>
    </w:p>
    <w:p>
      <w:pPr>
        <w:pStyle w:val="BodyText"/>
        <w:spacing w:line="292" w:lineRule="auto"/>
        <w:ind w:left="104" w:right="167"/>
      </w:pPr>
      <w:r>
        <w:rPr>
          <w:color w:val="6E6158"/>
        </w:rPr>
        <w:t>covenants, legal malpractice, employment matters, intellectual property, construction </w:t>
      </w:r>
      <w:r>
        <w:rPr>
          <w:color w:val="6E6158"/>
        </w:rPr>
        <w:t>defects,</w:t>
      </w:r>
      <w:r>
        <w:rPr>
          <w:color w:val="6E6158"/>
          <w:spacing w:val="40"/>
        </w:rPr>
        <w:t> </w:t>
      </w:r>
      <w:r>
        <w:rPr>
          <w:color w:val="6E6158"/>
        </w:rPr>
        <w:t>and appeals. Brett’s practice is marked by success, which he attributes to his passion for law,</w:t>
      </w:r>
      <w:r>
        <w:rPr>
          <w:color w:val="6E6158"/>
          <w:spacing w:val="40"/>
        </w:rPr>
        <w:t> </w:t>
      </w:r>
      <w:r>
        <w:rPr>
          <w:color w:val="6E6158"/>
        </w:rPr>
        <w:t>rugged work ethic, and unyielding commitment to excellence.</w:t>
      </w:r>
    </w:p>
    <w:p>
      <w:pPr>
        <w:pStyle w:val="BodyText"/>
        <w:spacing w:line="292" w:lineRule="auto" w:before="196"/>
        <w:ind w:left="104" w:right="167"/>
      </w:pPr>
      <w:r>
        <w:rPr>
          <w:color w:val="6E6158"/>
        </w:rPr>
        <w:t>Brett</w:t>
      </w:r>
      <w:r>
        <w:rPr>
          <w:color w:val="6E6158"/>
          <w:spacing w:val="25"/>
        </w:rPr>
        <w:t> </w:t>
      </w:r>
      <w:r>
        <w:rPr>
          <w:color w:val="6E6158"/>
        </w:rPr>
        <w:t>understands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first</w:t>
      </w:r>
      <w:r>
        <w:rPr>
          <w:color w:val="6E6158"/>
          <w:spacing w:val="25"/>
        </w:rPr>
        <w:t> </w:t>
      </w:r>
      <w:r>
        <w:rPr>
          <w:color w:val="6E6158"/>
        </w:rPr>
        <w:t>priority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business</w:t>
      </w:r>
      <w:r>
        <w:rPr>
          <w:color w:val="6E6158"/>
          <w:spacing w:val="25"/>
        </w:rPr>
        <w:t> </w:t>
      </w:r>
      <w:r>
        <w:rPr>
          <w:color w:val="6E6158"/>
        </w:rPr>
        <w:t>litigation</w:t>
      </w:r>
      <w:r>
        <w:rPr>
          <w:color w:val="6E6158"/>
          <w:spacing w:val="25"/>
        </w:rPr>
        <w:t> </w:t>
      </w:r>
      <w:r>
        <w:rPr>
          <w:color w:val="6E6158"/>
        </w:rPr>
        <w:t>lawyer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learn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clients’ businesses</w:t>
      </w:r>
      <w:r>
        <w:rPr>
          <w:color w:val="6E6158"/>
          <w:spacing w:val="13"/>
        </w:rPr>
        <w:t> </w:t>
      </w:r>
      <w:r>
        <w:rPr>
          <w:color w:val="6E6158"/>
        </w:rPr>
        <w:t>from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inside</w:t>
      </w:r>
      <w:r>
        <w:rPr>
          <w:color w:val="6E6158"/>
          <w:spacing w:val="13"/>
        </w:rPr>
        <w:t> </w:t>
      </w:r>
      <w:r>
        <w:rPr>
          <w:color w:val="6E6158"/>
        </w:rPr>
        <w:t>out.</w:t>
      </w:r>
      <w:r>
        <w:rPr>
          <w:color w:val="6E6158"/>
          <w:spacing w:val="13"/>
        </w:rPr>
        <w:t> </w:t>
      </w:r>
      <w:r>
        <w:rPr>
          <w:color w:val="6E6158"/>
        </w:rPr>
        <w:t>Before</w:t>
      </w:r>
      <w:r>
        <w:rPr>
          <w:color w:val="6E6158"/>
          <w:spacing w:val="13"/>
        </w:rPr>
        <w:t> </w:t>
      </w:r>
      <w:r>
        <w:rPr>
          <w:color w:val="6E6158"/>
        </w:rPr>
        <w:t>his</w:t>
      </w:r>
      <w:r>
        <w:rPr>
          <w:color w:val="6E6158"/>
          <w:spacing w:val="13"/>
        </w:rPr>
        <w:t> </w:t>
      </w:r>
      <w:r>
        <w:rPr>
          <w:color w:val="6E6158"/>
        </w:rPr>
        <w:t>career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attorney,</w:t>
      </w:r>
      <w:r>
        <w:rPr>
          <w:color w:val="6E6158"/>
          <w:spacing w:val="13"/>
        </w:rPr>
        <w:t> </w:t>
      </w:r>
      <w:r>
        <w:rPr>
          <w:color w:val="6E6158"/>
        </w:rPr>
        <w:t>Brett</w:t>
      </w:r>
      <w:r>
        <w:rPr>
          <w:color w:val="6E6158"/>
          <w:spacing w:val="13"/>
        </w:rPr>
        <w:t> </w:t>
      </w:r>
      <w:r>
        <w:rPr>
          <w:color w:val="6E6158"/>
        </w:rPr>
        <w:t>spent</w:t>
      </w:r>
      <w:r>
        <w:rPr>
          <w:color w:val="6E6158"/>
          <w:spacing w:val="13"/>
        </w:rPr>
        <w:t> </w:t>
      </w:r>
      <w:r>
        <w:rPr>
          <w:color w:val="6E6158"/>
        </w:rPr>
        <w:t>over a</w:t>
      </w:r>
      <w:r>
        <w:rPr>
          <w:color w:val="6E6158"/>
          <w:spacing w:val="32"/>
        </w:rPr>
        <w:t> </w:t>
      </w:r>
      <w:r>
        <w:rPr>
          <w:color w:val="6E6158"/>
        </w:rPr>
        <w:t>decade</w:t>
      </w:r>
      <w:r>
        <w:rPr>
          <w:color w:val="6E6158"/>
          <w:spacing w:val="32"/>
        </w:rPr>
        <w:t> </w:t>
      </w:r>
      <w:r>
        <w:rPr>
          <w:color w:val="6E6158"/>
        </w:rPr>
        <w:t>gaining</w:t>
      </w:r>
      <w:r>
        <w:rPr>
          <w:color w:val="6E6158"/>
          <w:spacing w:val="32"/>
        </w:rPr>
        <w:t> </w:t>
      </w:r>
      <w:r>
        <w:rPr>
          <w:color w:val="6E6158"/>
        </w:rPr>
        <w:t>valuable</w:t>
      </w:r>
      <w:r>
        <w:rPr>
          <w:color w:val="6E6158"/>
          <w:spacing w:val="32"/>
        </w:rPr>
        <w:t> </w:t>
      </w:r>
      <w:r>
        <w:rPr>
          <w:color w:val="6E6158"/>
        </w:rPr>
        <w:t>experience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health</w:t>
      </w:r>
      <w:r>
        <w:rPr>
          <w:color w:val="6E6158"/>
          <w:spacing w:val="32"/>
        </w:rPr>
        <w:t> </w:t>
      </w:r>
      <w:r>
        <w:rPr>
          <w:color w:val="6E6158"/>
        </w:rPr>
        <w:t>care,</w:t>
      </w:r>
      <w:r>
        <w:rPr>
          <w:color w:val="6E6158"/>
          <w:spacing w:val="32"/>
        </w:rPr>
        <w:t> </w:t>
      </w:r>
      <w:r>
        <w:rPr>
          <w:color w:val="6E6158"/>
        </w:rPr>
        <w:t>commercial</w:t>
      </w:r>
      <w:r>
        <w:rPr>
          <w:color w:val="6E6158"/>
          <w:spacing w:val="32"/>
        </w:rPr>
        <w:t> </w:t>
      </w:r>
      <w:r>
        <w:rPr>
          <w:color w:val="6E6158"/>
        </w:rPr>
        <w:t>aviation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outdoor</w:t>
      </w:r>
    </w:p>
    <w:p>
      <w:pPr>
        <w:pStyle w:val="BodyText"/>
        <w:spacing w:line="297" w:lineRule="auto" w:before="1"/>
        <w:ind w:left="104" w:right="167"/>
      </w:pPr>
      <w:r>
        <w:rPr>
          <w:color w:val="6E6158"/>
        </w:rPr>
        <w:t>industries. His diverse and well-rounded background, paired with his keen legal mind and broad</w:t>
      </w:r>
      <w:r>
        <w:rPr>
          <w:color w:val="6E6158"/>
          <w:spacing w:val="40"/>
        </w:rPr>
        <w:t> </w:t>
      </w:r>
      <w:r>
        <w:rPr>
          <w:color w:val="6E6158"/>
        </w:rPr>
        <w:t>array of talents, makes him uniquely qualified to provide strategic and highly effective</w:t>
      </w:r>
      <w:r>
        <w:rPr>
          <w:color w:val="6E6158"/>
          <w:spacing w:val="40"/>
        </w:rPr>
        <w:t> </w:t>
      </w:r>
      <w:r>
        <w:rPr>
          <w:color w:val="6E6158"/>
        </w:rPr>
        <w:t>representation across all sectors of the business community.</w:t>
      </w:r>
    </w:p>
    <w:p>
      <w:pPr>
        <w:pStyle w:val="BodyText"/>
        <w:spacing w:line="292" w:lineRule="auto" w:before="192"/>
        <w:ind w:left="104" w:right="366"/>
      </w:pPr>
      <w:r>
        <w:rPr>
          <w:color w:val="6E6158"/>
        </w:rPr>
        <w:t>For law school, Brett attended the University of Arizona James E. Rogers College of Law, where</w:t>
      </w:r>
      <w:r>
        <w:rPr>
          <w:color w:val="6E6158"/>
          <w:spacing w:val="40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graduated</w:t>
      </w:r>
      <w:r>
        <w:rPr>
          <w:color w:val="6E6158"/>
          <w:spacing w:val="28"/>
        </w:rPr>
        <w:t> </w:t>
      </w:r>
      <w:r>
        <w:rPr>
          <w:color w:val="6E6158"/>
        </w:rPr>
        <w:t>second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class,</w:t>
      </w:r>
      <w:r>
        <w:rPr>
          <w:color w:val="6E6158"/>
          <w:spacing w:val="28"/>
        </w:rPr>
        <w:t> </w:t>
      </w:r>
      <w:r>
        <w:rPr>
          <w:color w:val="6E6158"/>
        </w:rPr>
        <w:t>received</w:t>
      </w:r>
      <w:r>
        <w:rPr>
          <w:color w:val="6E6158"/>
          <w:spacing w:val="28"/>
        </w:rPr>
        <w:t> </w:t>
      </w:r>
      <w:r>
        <w:rPr>
          <w:color w:val="6E6158"/>
        </w:rPr>
        <w:t>awards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excellence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legal</w:t>
      </w:r>
      <w:r>
        <w:rPr>
          <w:color w:val="6E6158"/>
          <w:spacing w:val="28"/>
        </w:rPr>
        <w:t> </w:t>
      </w:r>
      <w:r>
        <w:rPr>
          <w:color w:val="6E6158"/>
        </w:rPr>
        <w:t>writing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oral</w:t>
      </w:r>
    </w:p>
    <w:p>
      <w:pPr>
        <w:pStyle w:val="BodyText"/>
        <w:spacing w:line="295" w:lineRule="auto"/>
        <w:ind w:left="104" w:right="167"/>
      </w:pPr>
      <w:r>
        <w:rPr>
          <w:color w:val="6E6158"/>
        </w:rPr>
        <w:t>advocacy, and served as senior managing editor of </w:t>
      </w:r>
      <w:r>
        <w:rPr>
          <w:i/>
          <w:color w:val="6E6158"/>
          <w:sz w:val="20"/>
        </w:rPr>
        <w:t>Arizona Law Review</w:t>
      </w:r>
      <w:r>
        <w:rPr>
          <w:color w:val="6E6158"/>
        </w:rPr>
        <w:t>. In recognition of his outstanding academic achievements, Brett was named a distinguished scholar — the James </w:t>
      </w:r>
      <w:r>
        <w:rPr>
          <w:color w:val="6E6158"/>
        </w:rPr>
        <w:t>E.</w:t>
      </w:r>
      <w:r>
        <w:rPr>
          <w:color w:val="6E6158"/>
          <w:spacing w:val="40"/>
        </w:rPr>
        <w:t> </w:t>
      </w:r>
      <w:r>
        <w:rPr>
          <w:color w:val="6E6158"/>
        </w:rPr>
        <w:t>Rogers College of Law’s highest honor. After graduating, Brett served a one-year clerkship with</w:t>
      </w:r>
      <w:r>
        <w:rPr>
          <w:color w:val="6E6158"/>
          <w:spacing w:val="40"/>
        </w:rPr>
        <w:t> </w:t>
      </w:r>
      <w:r>
        <w:rPr>
          <w:color w:val="6E6158"/>
        </w:rPr>
        <w:t>Vice Chief Justice John Pelander of the Arizona Supreme Court.</w:t>
      </w:r>
    </w:p>
    <w:p>
      <w:pPr>
        <w:pStyle w:val="Heading1"/>
        <w:spacing w:before="156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152929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726pt;width:1.65pt;height:1.65pt;mso-position-horizontal-relative:page;mso-position-vertical-relative:paragraph;z-index:15729152" id="docshape1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6"/>
        </w:rPr>
        <w:t> </w:t>
      </w:r>
      <w:r>
        <w:rPr>
          <w:color w:val="6E6158"/>
        </w:rPr>
        <w:t>University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Arizona,</w:t>
      </w:r>
      <w:r>
        <w:rPr>
          <w:color w:val="6E6158"/>
          <w:spacing w:val="7"/>
        </w:rPr>
        <w:t> </w:t>
      </w:r>
      <w:r>
        <w:rPr>
          <w:color w:val="6E6158"/>
        </w:rPr>
        <w:t>James</w:t>
      </w:r>
      <w:r>
        <w:rPr>
          <w:color w:val="6E6158"/>
          <w:spacing w:val="6"/>
        </w:rPr>
        <w:t> </w:t>
      </w:r>
      <w:r>
        <w:rPr>
          <w:color w:val="6E6158"/>
        </w:rPr>
        <w:t>E.</w:t>
      </w:r>
      <w:r>
        <w:rPr>
          <w:color w:val="6E6158"/>
          <w:spacing w:val="6"/>
        </w:rPr>
        <w:t> </w:t>
      </w:r>
      <w:r>
        <w:rPr>
          <w:color w:val="6E6158"/>
        </w:rPr>
        <w:t>Rogers</w:t>
      </w:r>
      <w:r>
        <w:rPr>
          <w:color w:val="6E6158"/>
          <w:spacing w:val="6"/>
        </w:rPr>
        <w:t> </w:t>
      </w:r>
      <w:r>
        <w:rPr>
          <w:color w:val="6E6158"/>
        </w:rPr>
        <w:t>College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Law,</w:t>
      </w:r>
      <w:r>
        <w:rPr>
          <w:color w:val="6E6158"/>
          <w:spacing w:val="6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after="0"/>
        <w:rPr>
          <w:i/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2" w:lineRule="auto" w:before="88"/>
        <w:ind w:left="853" w:right="6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9.103134pt;width:1.65pt;height:1.65pt;mso-position-horizontal-relative:page;mso-position-vertical-relative:paragraph;z-index:15729664" id="docshape14" coordorigin="2171,182" coordsize="33,33" path="m2192,215l2183,215,2179,213,2173,207,2171,203,2171,194,2173,190,2179,184,2183,182,2192,182,2196,184,2202,190,2204,194,2204,198,2204,203,2202,207,2196,213,2192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9.446884pt;width:1.65pt;height:1.65pt;mso-position-horizontal-relative:page;mso-position-vertical-relative:paragraph;z-index:15730176" id="docshape15" coordorigin="2171,589" coordsize="33,33" path="m2192,621l2183,621,2179,620,2173,614,2171,610,2171,601,2173,597,2179,591,2183,589,2192,589,2196,591,2202,597,2204,601,2204,605,2204,610,2202,614,2196,620,2192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50.197506pt;width:1.65pt;height:1.65pt;mso-position-horizontal-relative:page;mso-position-vertical-relative:paragraph;z-index:15730688" id="docshape16" coordorigin="2171,1004" coordsize="33,33" path="m2192,1036l2183,1036,2179,1035,2173,1029,2171,1025,2171,1016,2173,1012,2179,1006,2183,1004,2192,1004,2196,1006,2202,1012,2204,1016,2204,1020,2204,1025,2202,1029,2196,1035,2192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 of the Coif Distinguished </w:t>
      </w:r>
      <w:r>
        <w:rPr>
          <w:color w:val="6E6158"/>
        </w:rPr>
        <w:t>Scholar Dean’s List</w:t>
      </w:r>
    </w:p>
    <w:p>
      <w:pPr>
        <w:spacing w:line="234" w:lineRule="exact" w:before="0"/>
        <w:ind w:left="853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1378727</wp:posOffset>
                </wp:positionH>
                <wp:positionV relativeFrom="paragraph">
                  <wp:posOffset>58945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4.641374pt;width:1.65pt;height:1.65pt;mso-position-horizontal-relative:page;mso-position-vertical-relative:paragraph;z-index:15731200" id="docshape17" coordorigin="2171,93" coordsize="33,33" path="m2192,125l2183,125,2179,124,2173,117,2171,114,2171,105,2173,101,2179,94,2183,93,2192,93,2196,94,2202,101,2204,105,2204,109,2204,114,2202,117,2196,124,2192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Senior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Managing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1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pStyle w:val="BodyText"/>
        <w:spacing w:line="292" w:lineRule="auto" w:before="172"/>
        <w:ind w:left="853" w:right="6392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168771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9083pt;width:1.65pt;height:1.65pt;mso-position-horizontal-relative:page;mso-position-vertical-relative:paragraph;z-index:15731712" id="docshape18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1378727</wp:posOffset>
                </wp:positionH>
                <wp:positionV relativeFrom="paragraph">
                  <wp:posOffset>349627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7.529707pt;width:1.65pt;height:1.65pt;mso-position-horizontal-relative:page;mso-position-vertical-relative:paragraph;z-index:15732224" id="docshape19" coordorigin="2171,551" coordsize="33,33" path="m2192,583l2183,583,2179,582,2173,575,2171,571,2171,562,2173,559,2179,552,2183,551,2192,551,2196,552,2202,559,2204,562,2204,567,2204,571,2202,575,2196,582,2192,5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 University of </w:t>
      </w:r>
      <w:r>
        <w:rPr>
          <w:color w:val="6E6158"/>
        </w:rPr>
        <w:t>Utah</w:t>
      </w:r>
      <w:r>
        <w:rPr>
          <w:color w:val="6E6158"/>
        </w:rPr>
        <w:t> Dean’s List</w:t>
      </w:r>
    </w:p>
    <w:p>
      <w:pPr>
        <w:pStyle w:val="Heading1"/>
        <w:spacing w:before="17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7" w:lineRule="auto"/>
        <w:ind w:left="356" w:right="7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59598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2761pt;width:1.65pt;height:1.65pt;mso-position-horizontal-relative:page;mso-position-vertical-relative:paragraph;z-index:15732736" id="docshape20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323131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43386pt;width:1.65pt;height:1.65pt;mso-position-horizontal-relative:page;mso-position-vertical-relative:paragraph;z-index:15733248" id="docshape21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Appeals Litigation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54880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1305pt;width:1.65pt;height:1.65pt;mso-position-horizontal-relative:page;mso-position-vertical-relative:paragraph;z-index:15733760" id="docshape22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88" w:lineRule="auto" w:before="137"/>
        <w:ind w:left="356" w:right="8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152676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786pt;width:1.65pt;height:1.65pt;mso-position-horizontal-relative:page;mso-position-vertical-relative:paragraph;z-index:15734272" id="docshape2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</w:rPr>
        <w:t>®, Ones to Watch – Appellate Practice, Commercial Litigation, Litigation-Intellectual Property, 2024 – 2025</w:t>
      </w:r>
    </w:p>
    <w:p>
      <w:pPr>
        <w:spacing w:before="12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145705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2898pt;width:1.65pt;height:1.65pt;mso-position-horizontal-relative:page;mso-position-vertical-relative:paragraph;z-index:15734784" id="docshape24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2023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&amp;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152756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091pt;width:1.65pt;height:1.65pt;mso-position-horizontal-relative:page;mso-position-vertical-relative:paragraph;z-index:15735296" id="docshape2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“Learning to Juggle Lawyering and Life is a Tremendous Challenge but it isn’t an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Impossible Task,” Fennemore Blog, May 12, 2022</w:t>
        </w:r>
      </w:hyperlink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142861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894pt;width:1.65pt;height:1.65pt;mso-position-horizontal-relative:page;mso-position-vertical-relative:paragraph;z-index:15735808" id="docshape2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Co-author,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pacing w:val="-2"/>
          <w:sz w:val="20"/>
        </w:rPr>
        <w:t>Practical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Challenges to Enforcing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Confidentiality Agreements</w:t>
      </w:r>
      <w:r>
        <w:rPr>
          <w:color w:val="6E6158"/>
          <w:spacing w:val="-2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2"/>
          <w:sz w:val="19"/>
        </w:rPr>
        <w:t>67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Rocky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2"/>
          <w:sz w:val="19"/>
        </w:rPr>
        <w:t>Mtn.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Min.</w:t>
      </w:r>
    </w:p>
    <w:p>
      <w:pPr>
        <w:pStyle w:val="BodyText"/>
        <w:spacing w:before="50"/>
        <w:ind w:left="356"/>
      </w:pPr>
      <w:r>
        <w:rPr>
          <w:color w:val="6E6158"/>
        </w:rPr>
        <w:t>L.</w:t>
      </w:r>
      <w:r>
        <w:rPr>
          <w:color w:val="6E6158"/>
          <w:spacing w:val="7"/>
        </w:rPr>
        <w:t> </w:t>
      </w:r>
      <w:r>
        <w:rPr>
          <w:color w:val="6E6158"/>
        </w:rPr>
        <w:t>Inst.</w:t>
      </w:r>
      <w:r>
        <w:rPr>
          <w:color w:val="6E6158"/>
          <w:spacing w:val="7"/>
        </w:rPr>
        <w:t> </w:t>
      </w:r>
      <w:r>
        <w:rPr>
          <w:color w:val="6E6158"/>
        </w:rPr>
        <w:t>18-1,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152499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833pt;width:1.65pt;height:1.65pt;mso-position-horizontal-relative:page;mso-position-vertical-relative:paragraph;z-index:15736320" id="docshape2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</w:t>
      </w:r>
      <w:r>
        <w:rPr>
          <w:color w:val="6E6158"/>
          <w:spacing w:val="11"/>
        </w:rPr>
        <w:t> </w:t>
      </w:r>
      <w:r>
        <w:rPr>
          <w:color w:val="6E6158"/>
        </w:rPr>
        <w:t>Attorney,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Center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170229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878pt;width:1.65pt;height:1.65pt;mso-position-horizontal-relative:page;mso-position-vertical-relative:paragraph;z-index:15736832" id="docshape2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Student</w:t>
      </w:r>
      <w:r>
        <w:rPr>
          <w:color w:val="6E6158"/>
          <w:spacing w:val="2"/>
        </w:rPr>
        <w:t> </w:t>
      </w:r>
      <w:r>
        <w:rPr>
          <w:color w:val="6E6158"/>
        </w:rPr>
        <w:t>Volunteer,</w:t>
      </w:r>
      <w:r>
        <w:rPr>
          <w:color w:val="6E6158"/>
          <w:spacing w:val="2"/>
        </w:rPr>
        <w:t> </w:t>
      </w:r>
      <w:r>
        <w:rPr>
          <w:color w:val="6E6158"/>
        </w:rPr>
        <w:t>Volunteer</w:t>
      </w:r>
      <w:r>
        <w:rPr>
          <w:color w:val="6E6158"/>
          <w:spacing w:val="2"/>
        </w:rPr>
        <w:t> </w:t>
      </w:r>
      <w:r>
        <w:rPr>
          <w:color w:val="6E6158"/>
        </w:rPr>
        <w:t>Lawyers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Program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left="356" w:right="7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152905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764pt;width:1.65pt;height:1.65pt;mso-position-horizontal-relative:page;mso-position-vertical-relative:paragraph;z-index:15737344" id="docshape2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411270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3514pt;width:1.65pt;height:1.65pt;mso-position-horizontal-relative:page;mso-position-vertical-relative:paragraph;z-index:15737856" id="docshape30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</w:t>
      </w:r>
      <w:r>
        <w:rPr>
          <w:color w:val="6E6158"/>
          <w:spacing w:val="-4"/>
        </w:rPr>
        <w:t>Utah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58550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0295pt;width:1.65pt;height:1.65pt;mso-position-horizontal-relative:page;mso-position-vertical-relative:paragraph;z-index:15738368" id="docshape31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175167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682pt;width:1.65pt;height:1.65pt;mso-position-horizontal-relative:page;mso-position-vertical-relative:paragraph;z-index:15738880" id="docshape32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bgilmore@fennemorelaw.com" TargetMode="External"/><Relationship Id="rId11" Type="http://schemas.openxmlformats.org/officeDocument/2006/relationships/hyperlink" Target="https://www.fennemorelaw.com/learning-to-juggle-lawyering-and-life-is-a-tremendous-challenge-but-it-isnt-an-impossible-tas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2025-01-06T17:12:43Z</dcterms:created>
  <dcterms:modified xsi:type="dcterms:W3CDTF">2025-01-06T17:12:43Z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