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44773" y="1369338"/>
                            <a:ext cx="201041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" h="320675">
                                <a:moveTo>
                                  <a:pt x="2010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10079" y="320382"/>
                                </a:lnTo>
                                <a:lnTo>
                                  <a:pt x="2010079" y="315214"/>
                                </a:lnTo>
                                <a:close/>
                              </a:path>
                              <a:path w="2010410" h="320675">
                                <a:moveTo>
                                  <a:pt x="201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10079" y="5168"/>
                                </a:lnTo>
                                <a:lnTo>
                                  <a:pt x="201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BRETT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SULLIVAN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509.828.4642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509.455.3718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bsullivan@fennemorelaw.com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82;top:2156;width:3166;height:505" id="docshape5" coordorigin="5582,2156" coordsize="3166,505" path="m8748,2653l5582,2653,5582,2661,8748,2661,8748,2653xm8748,2156l5582,2156,5582,2165,8748,2165,8748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BRETT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SULLIVAN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509.828.4642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509.455.3718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bsullivan@fennemorelaw.com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BRETT</w:t>
      </w:r>
      <w:r>
        <w:rPr>
          <w:color w:val="FF8100"/>
          <w:spacing w:val="4"/>
        </w:rPr>
        <w:t> </w:t>
      </w:r>
      <w:r>
        <w:rPr>
          <w:color w:val="FF8100"/>
        </w:rPr>
        <w:t>T.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SULLIVAN</w:t>
      </w:r>
    </w:p>
    <w:p>
      <w:pPr>
        <w:pStyle w:val="BodyText"/>
        <w:spacing w:line="297" w:lineRule="auto" w:before="147"/>
        <w:ind w:right="621"/>
      </w:pPr>
      <w:r>
        <w:rPr>
          <w:color w:val="6E6158"/>
        </w:rPr>
        <w:t>Brett T. Sullivan’s practice focuses on real estate and business law, with a particular focus on </w:t>
      </w:r>
      <w:r>
        <w:rPr>
          <w:color w:val="6E6158"/>
        </w:rPr>
        <w:t>the intersection of these two areas. He advises individuals and businesses in all aspects of business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entity</w:t>
      </w:r>
      <w:r>
        <w:rPr>
          <w:color w:val="6E6158"/>
          <w:spacing w:val="33"/>
        </w:rPr>
        <w:t> </w:t>
      </w:r>
      <w:r>
        <w:rPr>
          <w:color w:val="6E6158"/>
        </w:rPr>
        <w:t>formation,</w:t>
      </w:r>
      <w:r>
        <w:rPr>
          <w:color w:val="6E6158"/>
          <w:spacing w:val="33"/>
        </w:rPr>
        <w:t> </w:t>
      </w:r>
      <w:r>
        <w:rPr>
          <w:color w:val="6E6158"/>
        </w:rPr>
        <w:t>management,</w:t>
      </w:r>
      <w:r>
        <w:rPr>
          <w:color w:val="6E6158"/>
          <w:spacing w:val="33"/>
        </w:rPr>
        <w:t> </w:t>
      </w:r>
      <w:r>
        <w:rPr>
          <w:color w:val="6E6158"/>
        </w:rPr>
        <w:t>governance,</w:t>
      </w:r>
      <w:r>
        <w:rPr>
          <w:color w:val="6E6158"/>
          <w:spacing w:val="33"/>
        </w:rPr>
        <w:t> </w:t>
      </w:r>
      <w:r>
        <w:rPr>
          <w:color w:val="6E6158"/>
        </w:rPr>
        <w:t>financing,</w:t>
      </w:r>
      <w:r>
        <w:rPr>
          <w:color w:val="6E6158"/>
          <w:spacing w:val="33"/>
        </w:rPr>
        <w:t> </w:t>
      </w:r>
      <w:r>
        <w:rPr>
          <w:color w:val="6E6158"/>
        </w:rPr>
        <w:t>operations,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business</w:t>
      </w:r>
      <w:r>
        <w:rPr>
          <w:color w:val="6E6158"/>
          <w:spacing w:val="33"/>
        </w:rPr>
        <w:t> </w:t>
      </w:r>
      <w:r>
        <w:rPr>
          <w:color w:val="6E6158"/>
        </w:rPr>
        <w:t>closings.</w:t>
      </w:r>
    </w:p>
    <w:p>
      <w:pPr>
        <w:pStyle w:val="BodyText"/>
        <w:spacing w:line="302" w:lineRule="auto"/>
        <w:ind w:right="645"/>
      </w:pPr>
      <w:r>
        <w:rPr>
          <w:color w:val="6E6158"/>
        </w:rPr>
        <w:t>His clients include real estate investors, developers, and syndication groups across </w:t>
      </w:r>
      <w:r>
        <w:rPr>
          <w:color w:val="6E6158"/>
        </w:rPr>
        <w:t>Washington state.</w:t>
      </w:r>
      <w:r>
        <w:rPr>
          <w:color w:val="6E6158"/>
          <w:spacing w:val="25"/>
        </w:rPr>
        <w:t> </w:t>
      </w:r>
      <w:r>
        <w:rPr>
          <w:color w:val="6E6158"/>
        </w:rPr>
        <w:t>Brett</w:t>
      </w:r>
      <w:r>
        <w:rPr>
          <w:color w:val="6E6158"/>
          <w:spacing w:val="25"/>
        </w:rPr>
        <w:t> </w:t>
      </w:r>
      <w:r>
        <w:rPr>
          <w:color w:val="6E6158"/>
        </w:rPr>
        <w:t>advises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asset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equity</w:t>
      </w:r>
      <w:r>
        <w:rPr>
          <w:color w:val="6E6158"/>
          <w:spacing w:val="25"/>
        </w:rPr>
        <w:t> </w:t>
      </w:r>
      <w:r>
        <w:rPr>
          <w:color w:val="6E6158"/>
        </w:rPr>
        <w:t>sale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acted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</w:p>
    <w:p>
      <w:pPr>
        <w:pStyle w:val="BodyText"/>
        <w:spacing w:line="292" w:lineRule="auto"/>
        <w:ind w:right="645"/>
      </w:pPr>
      <w:r>
        <w:rPr>
          <w:color w:val="6E6158"/>
        </w:rPr>
        <w:t>closing agent on numerous business purchase and sale transactions. Additionally, he provides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full</w:t>
      </w:r>
      <w:r>
        <w:rPr>
          <w:color w:val="6E6158"/>
          <w:spacing w:val="40"/>
        </w:rPr>
        <w:t> </w:t>
      </w:r>
      <w:r>
        <w:rPr>
          <w:color w:val="6E6158"/>
        </w:rPr>
        <w:t>spectrum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homeowners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condominium</w:t>
      </w:r>
      <w:r>
        <w:rPr>
          <w:color w:val="6E6158"/>
          <w:spacing w:val="40"/>
        </w:rPr>
        <w:t> </w:t>
      </w:r>
      <w:r>
        <w:rPr>
          <w:color w:val="6E6158"/>
        </w:rPr>
        <w:t>owners</w:t>
      </w:r>
      <w:r>
        <w:rPr>
          <w:color w:val="6E6158"/>
          <w:spacing w:val="40"/>
        </w:rPr>
        <w:t> </w:t>
      </w:r>
      <w:r>
        <w:rPr>
          <w:color w:val="6E6158"/>
        </w:rPr>
        <w:t>associations.</w:t>
      </w:r>
    </w:p>
    <w:p>
      <w:pPr>
        <w:pStyle w:val="BodyText"/>
        <w:spacing w:line="295" w:lineRule="auto" w:before="183"/>
        <w:ind w:right="751"/>
      </w:pPr>
      <w:r>
        <w:rPr>
          <w:color w:val="6E6158"/>
        </w:rPr>
        <w:t>Brett brings to the table significant experience in working on commercial and residential real</w:t>
      </w:r>
      <w:r>
        <w:rPr>
          <w:color w:val="6E6158"/>
          <w:spacing w:val="40"/>
        </w:rPr>
        <w:t> </w:t>
      </w:r>
      <w:r>
        <w:rPr>
          <w:color w:val="6E6158"/>
        </w:rPr>
        <w:t>estate development matters as well as entity formation and governance, and his experience</w:t>
      </w:r>
      <w:r>
        <w:rPr>
          <w:color w:val="6E6158"/>
          <w:spacing w:val="40"/>
        </w:rPr>
        <w:t> </w:t>
      </w:r>
      <w:r>
        <w:rPr>
          <w:color w:val="6E6158"/>
        </w:rPr>
        <w:t>includes both transactional and litigation representation in these areas. His clients benefit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his previous in-house counsel experiences and entrepreneurial mindset, as he is well known for</w:t>
      </w:r>
      <w:r>
        <w:rPr>
          <w:color w:val="6E6158"/>
          <w:spacing w:val="40"/>
        </w:rPr>
        <w:t> </w:t>
      </w:r>
      <w:r>
        <w:rPr>
          <w:color w:val="6E6158"/>
        </w:rPr>
        <w:t>applying his pragmatic business experience as a counselor and advisor.</w:t>
      </w:r>
    </w:p>
    <w:p>
      <w:pPr>
        <w:pStyle w:val="BodyText"/>
        <w:spacing w:line="292" w:lineRule="auto" w:before="203"/>
        <w:ind w:right="645"/>
      </w:pPr>
      <w:r>
        <w:rPr>
          <w:color w:val="6E6158"/>
        </w:rPr>
        <w:t>Additionally, Brett has experience in representing clients with estate planning and estate</w:t>
      </w:r>
      <w:r>
        <w:rPr>
          <w:color w:val="6E6158"/>
          <w:spacing w:val="40"/>
        </w:rPr>
        <w:t> </w:t>
      </w:r>
      <w:r>
        <w:rPr>
          <w:color w:val="6E6158"/>
        </w:rPr>
        <w:t>administration</w:t>
      </w:r>
      <w:r>
        <w:rPr>
          <w:color w:val="6E6158"/>
          <w:spacing w:val="13"/>
        </w:rPr>
        <w:t> </w:t>
      </w:r>
      <w:r>
        <w:rPr>
          <w:color w:val="6E6158"/>
        </w:rPr>
        <w:t>matters,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particular</w:t>
      </w:r>
      <w:r>
        <w:rPr>
          <w:color w:val="6E6158"/>
          <w:spacing w:val="14"/>
        </w:rPr>
        <w:t> </w:t>
      </w:r>
      <w:r>
        <w:rPr>
          <w:color w:val="6E6158"/>
        </w:rPr>
        <w:t>focus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ownership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interests.</w:t>
      </w:r>
    </w:p>
    <w:p>
      <w:pPr>
        <w:pStyle w:val="BodyText"/>
        <w:spacing w:line="295" w:lineRule="auto" w:before="196"/>
        <w:ind w:right="645"/>
      </w:pPr>
      <w:r>
        <w:rPr>
          <w:color w:val="6E6158"/>
        </w:rPr>
        <w:t>Brett first started practicing law in Spokane in 1994 after having clerked with a local law firm</w:t>
      </w:r>
      <w:r>
        <w:rPr>
          <w:color w:val="6E6158"/>
          <w:spacing w:val="80"/>
        </w:rPr>
        <w:t> </w:t>
      </w:r>
      <w:r>
        <w:rPr>
          <w:color w:val="6E6158"/>
        </w:rPr>
        <w:t>during law school. In 1997, He joined a large residential contractor and developer as general</w:t>
      </w:r>
      <w:r>
        <w:rPr>
          <w:color w:val="6E6158"/>
          <w:spacing w:val="40"/>
        </w:rPr>
        <w:t> </w:t>
      </w:r>
      <w:r>
        <w:rPr>
          <w:color w:val="6E6158"/>
        </w:rPr>
        <w:t>counsel where he helped to expand and grow its operations. In 2008, he returned to the private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downtown</w:t>
      </w:r>
      <w:r>
        <w:rPr>
          <w:color w:val="6E6158"/>
          <w:spacing w:val="27"/>
        </w:rPr>
        <w:t> </w:t>
      </w:r>
      <w:r>
        <w:rPr>
          <w:color w:val="6E6158"/>
        </w:rPr>
        <w:t>Spokane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joined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Spencer</w:t>
      </w:r>
      <w:r>
        <w:rPr>
          <w:color w:val="6E6158"/>
          <w:spacing w:val="27"/>
        </w:rPr>
        <w:t> </w:t>
      </w:r>
      <w:r>
        <w:rPr>
          <w:color w:val="6E6158"/>
        </w:rPr>
        <w:t>Stromberg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2010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form</w:t>
      </w:r>
    </w:p>
    <w:p>
      <w:pPr>
        <w:pStyle w:val="BodyText"/>
        <w:spacing w:before="2"/>
      </w:pPr>
      <w:r>
        <w:rPr>
          <w:color w:val="6E6158"/>
        </w:rPr>
        <w:t>Lucent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PLLC</w:t>
      </w:r>
      <w:r>
        <w:rPr>
          <w:color w:val="6E6158"/>
          <w:spacing w:val="12"/>
        </w:rPr>
        <w:t> </w:t>
      </w:r>
      <w:r>
        <w:rPr>
          <w:color w:val="6E6158"/>
        </w:rPr>
        <w:t>(then</w:t>
      </w:r>
      <w:r>
        <w:rPr>
          <w:color w:val="6E6158"/>
          <w:spacing w:val="12"/>
        </w:rPr>
        <w:t> </w:t>
      </w:r>
      <w:r>
        <w:rPr>
          <w:color w:val="6E6158"/>
        </w:rPr>
        <w:t>known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Sullivan</w:t>
      </w:r>
      <w:r>
        <w:rPr>
          <w:color w:val="6E6158"/>
          <w:spacing w:val="12"/>
        </w:rPr>
        <w:t> </w:t>
      </w:r>
      <w:r>
        <w:rPr>
          <w:color w:val="6E6158"/>
        </w:rPr>
        <w:t>Stromberg,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PLLC).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right="201"/>
      </w:pPr>
      <w:r>
        <w:rPr>
          <w:color w:val="6E6158"/>
        </w:rPr>
        <w:t>Committed to serving the legal community, as well as his clients, Brett previously served as an ex-</w:t>
      </w:r>
      <w:r>
        <w:rPr>
          <w:color w:val="6E6158"/>
          <w:spacing w:val="40"/>
        </w:rPr>
        <w:t> </w:t>
      </w:r>
      <w:r>
        <w:rPr>
          <w:color w:val="6E6158"/>
        </w:rPr>
        <w:t>officio</w:t>
      </w:r>
      <w:r>
        <w:rPr>
          <w:color w:val="6E6158"/>
          <w:spacing w:val="31"/>
        </w:rPr>
        <w:t> </w:t>
      </w:r>
      <w:r>
        <w:rPr>
          <w:color w:val="6E6158"/>
        </w:rPr>
        <w:t>member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Executive</w:t>
      </w:r>
      <w:r>
        <w:rPr>
          <w:color w:val="6E6158"/>
          <w:spacing w:val="31"/>
        </w:rPr>
        <w:t> </w:t>
      </w:r>
      <w:r>
        <w:rPr>
          <w:color w:val="6E6158"/>
        </w:rPr>
        <w:t>Committee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Washington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Bar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</w:p>
    <w:p>
      <w:pPr>
        <w:pStyle w:val="BodyText"/>
        <w:spacing w:line="297" w:lineRule="auto" w:before="1"/>
        <w:ind w:right="645"/>
      </w:pPr>
      <w:r>
        <w:rPr>
          <w:color w:val="6E6158"/>
        </w:rPr>
        <w:t>Property, Probate and Trust Section, along with having served on several non-profit boards in the</w:t>
      </w:r>
      <w:r>
        <w:rPr>
          <w:color w:val="6E6158"/>
          <w:spacing w:val="40"/>
        </w:rPr>
        <w:t> </w:t>
      </w:r>
      <w:r>
        <w:rPr>
          <w:color w:val="6E6158"/>
        </w:rPr>
        <w:t>Spokane</w:t>
      </w:r>
      <w:r>
        <w:rPr>
          <w:color w:val="6E6158"/>
          <w:spacing w:val="27"/>
        </w:rPr>
        <w:t> </w:t>
      </w:r>
      <w:r>
        <w:rPr>
          <w:color w:val="6E6158"/>
        </w:rPr>
        <w:t>area.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frequently</w:t>
      </w:r>
      <w:r>
        <w:rPr>
          <w:color w:val="6E6158"/>
          <w:spacing w:val="27"/>
        </w:rPr>
        <w:t> </w:t>
      </w:r>
      <w:r>
        <w:rPr>
          <w:color w:val="6E6158"/>
        </w:rPr>
        <w:t>lectures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groups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attorneys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advisors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areas</w:t>
      </w:r>
      <w:r>
        <w:rPr>
          <w:color w:val="6E6158"/>
          <w:spacing w:val="27"/>
        </w:rPr>
        <w:t> </w:t>
      </w:r>
      <w:r>
        <w:rPr>
          <w:color w:val="6E6158"/>
        </w:rPr>
        <w:t>of real estate and business law.</w:t>
      </w:r>
    </w:p>
    <w:p>
      <w:pPr>
        <w:pStyle w:val="BodyText"/>
        <w:spacing w:line="292" w:lineRule="auto" w:before="192"/>
        <w:ind w:right="645"/>
      </w:pPr>
      <w:r>
        <w:rPr>
          <w:color w:val="6E6158"/>
        </w:rPr>
        <w:t>In his spare time, Brett enjoys the many recreational opportunities found in Eastern Washington,</w:t>
      </w:r>
      <w:r>
        <w:rPr>
          <w:color w:val="6E6158"/>
          <w:spacing w:val="40"/>
        </w:rPr>
        <w:t> </w:t>
      </w:r>
      <w:r>
        <w:rPr>
          <w:color w:val="6E6158"/>
        </w:rPr>
        <w:t>North Idaho, and British Columbia, including sailing, fly fishing, and skiing.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78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Gonzaga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141pt;width:1.65pt;height:1.65pt;mso-position-horizontal-relative:page;mso-position-vertical-relative:paragraph;z-index:15729664" id="docshape8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152679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28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411045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5776pt;width:1.65pt;height:1.65pt;mso-position-horizontal-relative:page;mso-position-vertical-relative:paragraph;z-index:15730688" id="docshape1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BodyText"/>
        <w:spacing w:line="420" w:lineRule="auto"/>
        <w:ind w:left="356"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58325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2559pt;width:1.65pt;height:1.65pt;mso-position-horizontal-relative:page;mso-position-vertical-relative:paragraph;z-index:15731200" id="docshape11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316691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6308pt;width:1.65pt;height:1.65pt;mso-position-horizontal-relative:page;mso-position-vertical-relative:paragraph;z-index:15731712" id="docshape12" coordorigin="1675,499" coordsize="33,33" path="m1696,531l1687,531,1683,530,1676,523,1675,519,1675,511,1676,507,1683,500,1687,499,1696,499,1699,500,1706,507,1707,511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Mergers &amp; Acquisitions</w:t>
      </w:r>
    </w:p>
    <w:p>
      <w:pPr>
        <w:pStyle w:val="Heading1"/>
        <w:spacing w:before="166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left="356" w:right="7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152600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822pt;width:1.65pt;height:1.65pt;mso-position-horizontal-relative:page;mso-position-vertical-relative:paragraph;z-index:15732224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410966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573pt;width:1.65pt;height:1.65pt;mso-position-horizontal-relative:page;mso-position-vertical-relative:paragraph;z-index:15732736" id="docshape1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Real Property, Probate and Trust Section, Washington State Bar </w:t>
      </w:r>
      <w:r>
        <w:rPr>
          <w:color w:val="6E6158"/>
        </w:rPr>
        <w:t>Association Member, Spokane County Bar Association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152809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211pt;width:1.65pt;height:1.65pt;mso-position-horizontal-relative:page;mso-position-vertical-relative:paragraph;z-index:1573324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175071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131pt;width:1.65pt;height:1.65pt;mso-position-horizontal-relative:page;mso-position-vertical-relative:paragraph;z-index:15733760" id="docshape1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169940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175pt;width:1.65pt;height:1.65pt;mso-position-horizontal-relative:page;mso-position-vertical-relative:paragraph;z-index:15734272" id="docshape1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bsulliv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2025-01-07T15:35:40Z</dcterms:created>
  <dcterms:modified xsi:type="dcterms:W3CDTF">2025-01-07T15:35:40Z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