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91280" y="1369338"/>
                            <a:ext cx="191706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064" h="320675">
                                <a:moveTo>
                                  <a:pt x="191706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17065" y="320382"/>
                                </a:lnTo>
                                <a:lnTo>
                                  <a:pt x="1917065" y="315214"/>
                                </a:lnTo>
                                <a:close/>
                              </a:path>
                              <a:path w="1917064" h="320675">
                                <a:moveTo>
                                  <a:pt x="1917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17065" y="5168"/>
                                </a:lnTo>
                                <a:lnTo>
                                  <a:pt x="191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CAMERON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HESS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916.273.1810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916.920.5286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chess@fennemorelaw.com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655;top:2156;width:3019;height:505" id="docshape5" coordorigin="5656,2156" coordsize="3019,505" path="m8675,2653l5656,2653,5656,2661,8675,2661,8675,2653xm8675,2156l5656,2156,5656,2165,8675,2165,8675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CAMERON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HESS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916.273.1810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916.920.5286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chess@fennemorelaw.com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CAMERON</w:t>
      </w:r>
      <w:r>
        <w:rPr>
          <w:color w:val="FF8100"/>
          <w:spacing w:val="13"/>
        </w:rPr>
        <w:t> </w:t>
      </w:r>
      <w:r>
        <w:rPr>
          <w:color w:val="FF8100"/>
          <w:spacing w:val="-4"/>
        </w:rPr>
        <w:t>HESS</w:t>
      </w:r>
    </w:p>
    <w:p>
      <w:pPr>
        <w:pStyle w:val="BodyText"/>
        <w:spacing w:line="297" w:lineRule="auto" w:before="147"/>
        <w:ind w:left="104" w:right="552"/>
      </w:pPr>
      <w:r>
        <w:rPr>
          <w:color w:val="6E6158"/>
        </w:rPr>
        <w:t>Cameron L. Hess brings unique dual experience in taxation and business law to the firm’s</w:t>
      </w:r>
      <w:r>
        <w:rPr>
          <w:color w:val="6E6158"/>
          <w:spacing w:val="40"/>
        </w:rPr>
        <w:t> </w:t>
      </w:r>
      <w:r>
        <w:rPr>
          <w:color w:val="6E6158"/>
        </w:rPr>
        <w:t>transaction department. As a Certified Public Accountant with a former tenure at KPMG,</w:t>
      </w:r>
      <w:r>
        <w:rPr>
          <w:color w:val="6E6158"/>
          <w:spacing w:val="40"/>
        </w:rPr>
        <w:t> </w:t>
      </w:r>
      <w:r>
        <w:rPr>
          <w:color w:val="6E6158"/>
        </w:rPr>
        <w:t>Cameron</w:t>
      </w:r>
      <w:r>
        <w:rPr>
          <w:color w:val="6E6158"/>
          <w:spacing w:val="16"/>
        </w:rPr>
        <w:t> </w:t>
      </w:r>
      <w:r>
        <w:rPr>
          <w:color w:val="6E6158"/>
        </w:rPr>
        <w:t>combines</w:t>
      </w:r>
      <w:r>
        <w:rPr>
          <w:color w:val="6E6158"/>
          <w:spacing w:val="16"/>
        </w:rPr>
        <w:t> </w:t>
      </w:r>
      <w:r>
        <w:rPr>
          <w:color w:val="6E6158"/>
        </w:rPr>
        <w:t>his</w:t>
      </w:r>
      <w:r>
        <w:rPr>
          <w:color w:val="6E6158"/>
          <w:spacing w:val="16"/>
        </w:rPr>
        <w:t> </w:t>
      </w:r>
      <w:r>
        <w:rPr>
          <w:color w:val="6E6158"/>
        </w:rPr>
        <w:t>accounting</w:t>
      </w:r>
      <w:r>
        <w:rPr>
          <w:color w:val="6E6158"/>
          <w:spacing w:val="16"/>
        </w:rPr>
        <w:t> </w:t>
      </w:r>
      <w:r>
        <w:rPr>
          <w:color w:val="6E6158"/>
        </w:rPr>
        <w:t>acumen</w:t>
      </w:r>
      <w:r>
        <w:rPr>
          <w:color w:val="6E6158"/>
          <w:spacing w:val="16"/>
        </w:rPr>
        <w:t> </w:t>
      </w:r>
      <w:r>
        <w:rPr>
          <w:color w:val="6E6158"/>
        </w:rPr>
        <w:t>with</w:t>
      </w:r>
      <w:r>
        <w:rPr>
          <w:color w:val="6E6158"/>
          <w:spacing w:val="16"/>
        </w:rPr>
        <w:t> </w:t>
      </w:r>
      <w:r>
        <w:rPr>
          <w:color w:val="6E6158"/>
        </w:rPr>
        <w:t>over</w:t>
      </w:r>
      <w:r>
        <w:rPr>
          <w:color w:val="6E6158"/>
          <w:spacing w:val="16"/>
        </w:rPr>
        <w:t> </w:t>
      </w:r>
      <w:r>
        <w:rPr>
          <w:color w:val="6E6158"/>
        </w:rPr>
        <w:t>30</w:t>
      </w:r>
      <w:r>
        <w:rPr>
          <w:color w:val="6E6158"/>
          <w:spacing w:val="16"/>
        </w:rPr>
        <w:t> </w:t>
      </w:r>
      <w:r>
        <w:rPr>
          <w:color w:val="6E6158"/>
        </w:rPr>
        <w:t>years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legal</w:t>
      </w:r>
      <w:r>
        <w:rPr>
          <w:color w:val="6E6158"/>
          <w:spacing w:val="16"/>
        </w:rPr>
        <w:t> </w:t>
      </w:r>
      <w:r>
        <w:rPr>
          <w:color w:val="6E6158"/>
        </w:rPr>
        <w:t>experience.</w:t>
      </w:r>
      <w:r>
        <w:rPr>
          <w:color w:val="6E6158"/>
          <w:spacing w:val="16"/>
        </w:rPr>
        <w:t> </w:t>
      </w:r>
      <w:r>
        <w:rPr>
          <w:color w:val="6E6158"/>
        </w:rPr>
        <w:t>His</w:t>
      </w:r>
      <w:r>
        <w:rPr>
          <w:color w:val="6E6158"/>
          <w:spacing w:val="16"/>
        </w:rPr>
        <w:t> </w:t>
      </w:r>
      <w:r>
        <w:rPr>
          <w:color w:val="6E6158"/>
        </w:rPr>
        <w:t>practice is marked by a comprehensive approach to real estate, business transactions, estate planning,</w:t>
      </w:r>
      <w:r>
        <w:rPr>
          <w:color w:val="6E6158"/>
          <w:spacing w:val="40"/>
        </w:rPr>
        <w:t> </w:t>
      </w:r>
      <w:r>
        <w:rPr>
          <w:color w:val="6E6158"/>
        </w:rPr>
        <w:t>nonprofit, and tax controversy at federal, state, and local levels.</w:t>
      </w:r>
    </w:p>
    <w:p>
      <w:pPr>
        <w:pStyle w:val="BodyText"/>
        <w:spacing w:line="295" w:lineRule="auto" w:before="191"/>
        <w:ind w:left="104" w:right="675"/>
      </w:pPr>
      <w:r>
        <w:rPr>
          <w:color w:val="6E6158"/>
        </w:rPr>
        <w:t>Noted by his ability to navigate complex IRS negotiations and tax litigation, Cameron offers</w:t>
      </w:r>
      <w:r>
        <w:rPr>
          <w:color w:val="6E6158"/>
          <w:spacing w:val="40"/>
        </w:rPr>
        <w:t> </w:t>
      </w:r>
      <w:r>
        <w:rPr>
          <w:color w:val="6E6158"/>
        </w:rPr>
        <w:t>clients representation in tax disputes, leveraging his understanding of both legal and financial</w:t>
      </w:r>
      <w:r>
        <w:rPr>
          <w:color w:val="6E6158"/>
          <w:spacing w:val="40"/>
        </w:rPr>
        <w:t> </w:t>
      </w:r>
      <w:r>
        <w:rPr>
          <w:color w:val="6E6158"/>
        </w:rPr>
        <w:t>aspects. His diverse practice serves several industries and closely held businesses, including real</w:t>
      </w:r>
      <w:r>
        <w:rPr>
          <w:color w:val="6E6158"/>
          <w:spacing w:val="40"/>
        </w:rPr>
        <w:t> </w:t>
      </w:r>
      <w:r>
        <w:rPr>
          <w:color w:val="6E6158"/>
        </w:rPr>
        <w:t>estate, manufacturing, and services, providing integrative planning that addresses the </w:t>
      </w:r>
      <w:r>
        <w:rPr>
          <w:color w:val="6E6158"/>
        </w:rPr>
        <w:t>intricate</w:t>
      </w:r>
      <w:r>
        <w:rPr>
          <w:color w:val="6E6158"/>
          <w:spacing w:val="40"/>
        </w:rPr>
        <w:t> </w:t>
      </w:r>
      <w:r>
        <w:rPr>
          <w:color w:val="6E6158"/>
        </w:rPr>
        <w:t>interplay of business operations and tax implications.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152559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542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Southern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83"/>
        <w:ind w:right="57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175456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461pt;width:1.65pt;height:1.65pt;mso-position-horizontal-relative:page;mso-position-vertical-relative:paragraph;z-index:15729664" id="docshape8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433821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921pt;width:1.65pt;height:1.65pt;mso-position-horizontal-relative:page;mso-position-vertical-relative:paragraph;z-index:15730176" id="docshape9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M.S. University of Southern </w:t>
      </w:r>
      <w:r>
        <w:rPr>
          <w:color w:val="6E6158"/>
        </w:rPr>
        <w:t>California</w:t>
      </w:r>
      <w:r>
        <w:rPr>
          <w:color w:val="6E6158"/>
        </w:rPr>
        <w:t> B.S.,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Berkele</w:t>
      </w:r>
      <w:r>
        <w:rPr>
          <w:color w:val="6E6158"/>
          <w:spacing w:val="-2"/>
        </w:rPr>
        <w:t>y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right="69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152804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85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411170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5599pt;width:1.65pt;height:1.65pt;mso-position-horizontal-relative:page;mso-position-vertical-relative:paragraph;z-index:15731200" id="docshape11" coordorigin="1675,648" coordsize="33,33" path="m1696,680l1687,680,1683,678,1676,672,1675,668,1675,659,1676,655,1683,649,1687,648,1696,648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674703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6225pt;width:1.65pt;height:1.65pt;mso-position-horizontal-relative:page;mso-position-vertical-relative:paragraph;z-index:15731712" id="docshape12" coordorigin="1675,1063" coordsize="33,33" path="m1696,1095l1687,1095,1683,1093,1676,1087,1675,1083,1675,1074,1676,1070,1683,1064,1687,1063,1696,1063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Mergers &amp; </w:t>
      </w:r>
      <w:r>
        <w:rPr>
          <w:color w:val="6E6158"/>
        </w:rPr>
        <w:t>Acquisitions Real Estate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58675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009pt;width:1.65pt;height:1.65pt;mso-position-horizontal-relative:page;mso-position-vertical-relative:paragraph;z-index:15732224" id="docshape13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169899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891pt;width:1.65pt;height:1.65pt;mso-position-horizontal-relative:page;mso-position-vertical-relative:paragraph;z-index:15732736" id="docshape14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428264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21642pt;width:1.65pt;height:1.65pt;mso-position-horizontal-relative:page;mso-position-vertical-relative:paragraph;z-index:15733248" id="docshape15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6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152414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155pt;width:1.65pt;height:1.65pt;mso-position-horizontal-relative:page;mso-position-vertical-relative:paragraph;z-index:15733760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spacing w:val="10"/>
        </w:rPr>
        <w:t> </w:t>
      </w:r>
      <w:r>
        <w:rPr>
          <w:color w:val="6E6158"/>
        </w:rPr>
        <w:t>Preeminent</w:t>
      </w:r>
      <w:r>
        <w:rPr>
          <w:color w:val="6E6158"/>
          <w:spacing w:val="10"/>
        </w:rPr>
        <w:t> </w:t>
      </w:r>
      <w:r>
        <w:rPr>
          <w:color w:val="6E6158"/>
        </w:rPr>
        <w:t>5.0</w:t>
      </w:r>
      <w:r>
        <w:rPr>
          <w:color w:val="6E6158"/>
          <w:spacing w:val="11"/>
        </w:rPr>
        <w:t> </w:t>
      </w:r>
      <w:r>
        <w:rPr>
          <w:color w:val="6E6158"/>
        </w:rPr>
        <w:t>Peer</w:t>
      </w:r>
      <w:r>
        <w:rPr>
          <w:color w:val="6E6158"/>
          <w:spacing w:val="10"/>
        </w:rPr>
        <w:t> </w:t>
      </w:r>
      <w:r>
        <w:rPr>
          <w:color w:val="6E6158"/>
        </w:rPr>
        <w:t>Review</w:t>
      </w:r>
      <w:r>
        <w:rPr>
          <w:color w:val="6E6158"/>
          <w:spacing w:val="10"/>
        </w:rPr>
        <w:t> </w:t>
      </w:r>
      <w:r>
        <w:rPr>
          <w:color w:val="6E6158"/>
        </w:rPr>
        <w:t>Rated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0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420" w:lineRule="auto" w:before="147"/>
        <w:ind w:right="10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4272" id="docshape1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93pt;width:1.65pt;height:1.65pt;mso-position-horizontal-relative:page;mso-position-vertical-relative:paragraph;z-index:15734784" id="docshape1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Corporate Transparency Act Presentation, Firm Presentation, February 15, </w:t>
      </w:r>
      <w:r>
        <w:rPr>
          <w:color w:val="6E6158"/>
        </w:rPr>
        <w:t>2024 Co-Author, Corporate Transparency Act, Firm Newsletter, January 19, 2024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63597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648pt;width:1.65pt;height:1.65pt;mso-position-horizontal-relative:page;mso-position-vertical-relative:paragraph;z-index:15735296" id="docshape1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10"/>
        </w:rPr>
        <w:t> </w:t>
      </w:r>
      <w:r>
        <w:rPr>
          <w:color w:val="6E6158"/>
        </w:rPr>
        <w:t>Estate</w:t>
      </w:r>
      <w:r>
        <w:rPr>
          <w:color w:val="6E6158"/>
          <w:spacing w:val="10"/>
        </w:rPr>
        <w:t> </w:t>
      </w:r>
      <w:r>
        <w:rPr>
          <w:color w:val="6E6158"/>
        </w:rPr>
        <w:t>Virtual</w:t>
      </w:r>
      <w:r>
        <w:rPr>
          <w:color w:val="6E6158"/>
          <w:spacing w:val="10"/>
        </w:rPr>
        <w:t> </w:t>
      </w:r>
      <w:r>
        <w:rPr>
          <w:color w:val="6E6158"/>
        </w:rPr>
        <w:t>Conference,</w:t>
      </w:r>
      <w:r>
        <w:rPr>
          <w:color w:val="6E6158"/>
          <w:spacing w:val="9"/>
        </w:rPr>
        <w:t> </w:t>
      </w:r>
      <w:r>
        <w:rPr>
          <w:color w:val="6E6158"/>
        </w:rPr>
        <w:t>CalCPA,</w:t>
      </w:r>
      <w:r>
        <w:rPr>
          <w:color w:val="6E6158"/>
          <w:spacing w:val="10"/>
        </w:rPr>
        <w:t> </w:t>
      </w:r>
      <w:r>
        <w:rPr>
          <w:color w:val="6E6158"/>
        </w:rPr>
        <w:t>January</w:t>
      </w:r>
      <w:r>
        <w:rPr>
          <w:color w:val="6E6158"/>
          <w:spacing w:val="10"/>
        </w:rPr>
        <w:t> </w:t>
      </w:r>
      <w:r>
        <w:rPr>
          <w:color w:val="6E6158"/>
        </w:rPr>
        <w:t>19,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6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170226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692pt;width:1.65pt;height:1.65pt;mso-position-horizontal-relative:page;mso-position-vertical-relative:paragraph;z-index:15735808" id="docshape2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How To Factor In Taxes When Considering Special Needs Trusts / (ABLE) Accounts, Financial Advisor, July 13, 2021</w:t>
      </w:r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55"/>
        <w:ind w:right="45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157739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0399pt;width:1.65pt;height:1.65pt;mso-position-horizontal-relative:page;mso-position-vertical-relative:paragraph;z-index:15736320" id="docshape2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416104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149pt;width:1.65pt;height:1.65pt;mso-position-horizontal-relative:page;mso-position-vertical-relative:paragraph;z-index:15736832" id="docshape2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674470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7899pt;width:1.65pt;height:1.65pt;mso-position-horizontal-relative:page;mso-position-vertical-relative:paragraph;z-index:15737344" id="docshape23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932835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51645pt;width:1.65pt;height:1.65pt;mso-position-horizontal-relative:page;mso-position-vertical-relative:paragraph;z-index:15737856" id="docshape24" coordorigin="1675,1469" coordsize="33,33" path="m1696,1502l1687,1502,1683,1500,1676,1494,1675,1490,1675,1481,1676,1477,1683,1471,1687,1469,1696,1469,1699,1471,1706,1477,1707,1481,1707,1485,1707,1490,1706,1494,1699,1500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Writer, Spidell’s California Tax Letter Member, Tax Section, American Bar Association Member, Tax Section, State Bar of California Member, Business Section, State Bar of </w:t>
      </w:r>
      <w:r>
        <w:rPr>
          <w:color w:val="6E6158"/>
        </w:rPr>
        <w:t>California</w:t>
      </w:r>
    </w:p>
    <w:p>
      <w:pPr>
        <w:pStyle w:val="BodyText"/>
        <w:spacing w:line="420" w:lineRule="auto" w:before="5"/>
        <w:ind w:right="31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62462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18335pt;width:1.65pt;height:1.65pt;mso-position-horizontal-relative:page;mso-position-vertical-relative:paragraph;z-index:15738368" id="docshape25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320828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62085pt;width:1.65pt;height:1.65pt;mso-position-horizontal-relative:page;mso-position-vertical-relative:paragraph;z-index:15738880" id="docshape26" coordorigin="1675,505" coordsize="33,33" path="m1696,538l1687,538,1683,536,1676,530,1675,526,1675,517,1676,513,1683,507,1687,505,1696,505,1699,507,1706,513,1707,517,1707,522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579194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05835pt;width:1.65pt;height:1.65pt;mso-position-horizontal-relative:page;mso-position-vertical-relative:paragraph;z-index:15739392" id="docshape27" coordorigin="1675,912" coordsize="33,33" path="m1696,945l1687,945,1683,943,1676,937,1675,933,1675,924,1676,920,1683,914,1687,912,1696,912,1699,914,1706,920,1707,924,1707,928,1707,933,1706,937,1699,943,1696,9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Tax Section, Sacramento County Bar Association Member, Business Section, Sacramento County Bar </w:t>
      </w:r>
      <w:r>
        <w:rPr>
          <w:color w:val="6E6158"/>
        </w:rPr>
        <w:t>Association Chair, CalCPA Estate Planning Committee</w:t>
      </w:r>
    </w:p>
    <w:p>
      <w:pPr>
        <w:pStyle w:val="BodyText"/>
        <w:spacing w:line="427" w:lineRule="auto"/>
        <w:ind w:right="31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57773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49131pt;width:1.65pt;height:1.65pt;mso-position-horizontal-relative:page;mso-position-vertical-relative:paragraph;z-index:15739904" id="docshape28" coordorigin="1675,91" coordsize="33,33" path="m1696,124l1687,124,1683,122,1676,116,1675,112,1675,103,1676,99,1683,93,1687,91,1696,91,1699,93,1706,99,1707,103,1707,107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321306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99755pt;width:1.65pt;height:1.65pt;mso-position-horizontal-relative:page;mso-position-vertical-relative:paragraph;z-index:15740416" id="docshape29" coordorigin="1675,506" coordsize="33,33" path="m1696,539l1687,539,1683,537,1676,531,1675,527,1675,518,1676,514,1683,508,1687,506,1696,506,1699,508,1706,514,1707,518,1707,522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CalCPA Chapter Real Estate Committee (RED </w:t>
      </w:r>
      <w:r>
        <w:rPr>
          <w:color w:val="6E6158"/>
        </w:rPr>
        <w:t>Group) Member, Beta Alpha Pi</w:t>
      </w:r>
    </w:p>
    <w:p>
      <w:pPr>
        <w:pStyle w:val="BodyText"/>
        <w:spacing w:line="420" w:lineRule="auto"/>
        <w:ind w:right="57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53056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77675pt;width:1.65pt;height:1.65pt;mso-position-horizontal-relative:page;mso-position-vertical-relative:paragraph;z-index:15740928" id="docshape30" coordorigin="1675,84" coordsize="33,33" path="m1696,116l1687,116,1683,115,1676,108,1675,104,1675,95,1676,91,1683,85,1687,84,1696,84,1699,85,1706,91,1707,95,1707,100,1707,104,1706,108,1699,115,1696,1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311422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521423pt;width:1.65pt;height:1.65pt;mso-position-horizontal-relative:page;mso-position-vertical-relative:paragraph;z-index:15741440" id="docshape31" coordorigin="1675,490" coordsize="33,33" path="m1696,523l1687,523,1683,521,1676,515,1675,511,1675,502,1676,498,1683,492,1687,490,1696,490,1699,492,1706,498,1707,502,1707,507,1707,511,1706,515,1699,521,1696,5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Tax Law Journal </w:t>
      </w:r>
      <w:r>
        <w:rPr>
          <w:color w:val="6E6158"/>
        </w:rPr>
        <w:t>(USC) Member, Phi Alpha Delta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52047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098205pt;width:1.65pt;height:1.65pt;mso-position-horizontal-relative:page;mso-position-vertical-relative:paragraph;z-index:15741952" id="docshape32" coordorigin="1675,82" coordsize="33,33" path="m1696,115l1687,115,1683,113,1676,107,1675,103,1675,94,1676,90,1683,84,1687,82,1696,82,1699,84,1706,90,1707,94,1707,98,1707,103,1706,107,1699,113,1696,1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Instructor,</w:t>
      </w:r>
      <w:r>
        <w:rPr>
          <w:color w:val="6E6158"/>
          <w:spacing w:val="12"/>
        </w:rPr>
        <w:t> </w:t>
      </w:r>
      <w:r>
        <w:rPr>
          <w:color w:val="6E6158"/>
        </w:rPr>
        <w:t>McGeorge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3"/>
        </w:rPr>
        <w:t> </w:t>
      </w:r>
      <w:r>
        <w:rPr>
          <w:color w:val="6E6158"/>
        </w:rPr>
        <w:t>(Partnership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Taxation)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152572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56pt;width:1.65pt;height:1.65pt;mso-position-horizontal-relative:page;mso-position-vertical-relative:paragraph;z-index:15742464" id="docshape3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169666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59604pt;width:1.65pt;height:1.65pt;mso-position-horizontal-relative:page;mso-position-vertical-relative:paragraph;z-index:15742976" id="docshape34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9th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170251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5648pt;width:1.65pt;height:1.65pt;mso-position-horizontal-relative:page;mso-position-vertical-relative:paragraph;z-index:15743488" id="docshape3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175368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567pt;width:1.65pt;height:1.65pt;mso-position-horizontal-relative:page;mso-position-vertical-relative:paragraph;z-index:15744000" id="docshape3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170238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612pt;width:1.65pt;height:1.65pt;mso-position-horizontal-relative:page;mso-position-vertical-relative:paragraph;z-index:15744512" id="docshape3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170188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0656pt;width:1.65pt;height:1.65pt;mso-position-horizontal-relative:page;mso-position-vertical-relative:paragraph;z-index:15745024" id="docshape3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Certified</w:t>
      </w:r>
      <w:r>
        <w:rPr>
          <w:color w:val="6E6158"/>
          <w:spacing w:val="14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Accountant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ches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2025-01-07T15:23:30Z</dcterms:created>
  <dcterms:modified xsi:type="dcterms:W3CDTF">2025-01-07T15:23:30Z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