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12" w:right="51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CHARLENE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SARICH</w:t>
                              </w:r>
                            </w:p>
                            <w:p>
                              <w:pPr>
                                <w:spacing w:before="48"/>
                                <w:ind w:left="512" w:right="51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512" w:right="5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12" w:right="5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602.916.5906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12" w:right="51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csarich@fennemorelaw.com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opacity="53713f"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12" w:right="51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CHARLENE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SARICH</w:t>
                        </w:r>
                      </w:p>
                      <w:p>
                        <w:pPr>
                          <w:spacing w:before="48"/>
                          <w:ind w:left="512" w:right="51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512" w:right="51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12" w:right="51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602.916.5906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512" w:right="51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csarich@fennemorelaw.com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CHARLENE</w:t>
      </w:r>
      <w:r>
        <w:rPr>
          <w:color w:val="002E6B"/>
          <w:spacing w:val="8"/>
        </w:rPr>
        <w:t> </w:t>
      </w:r>
      <w:r>
        <w:rPr>
          <w:color w:val="002E6B"/>
        </w:rPr>
        <w:t>K.</w:t>
      </w:r>
      <w:r>
        <w:rPr>
          <w:color w:val="002E6B"/>
          <w:spacing w:val="8"/>
        </w:rPr>
        <w:t> </w:t>
      </w:r>
      <w:r>
        <w:rPr>
          <w:color w:val="002E6B"/>
          <w:spacing w:val="-2"/>
        </w:rPr>
        <w:t>SARICH</w:t>
      </w:r>
    </w:p>
    <w:p>
      <w:pPr>
        <w:pStyle w:val="BodyText"/>
        <w:spacing w:line="297" w:lineRule="auto"/>
        <w:ind w:left="104" w:right="690"/>
      </w:pPr>
      <w:r>
        <w:rPr>
          <w:color w:val="6E6158"/>
        </w:rPr>
        <w:t>Charlene is a paralegal in our business and finance practice group. Her extensive corporate</w:t>
      </w:r>
      <w:r>
        <w:rPr>
          <w:color w:val="6E6158"/>
          <w:spacing w:val="40"/>
        </w:rPr>
        <w:t> </w:t>
      </w:r>
      <w:r>
        <w:rPr>
          <w:color w:val="6E6158"/>
        </w:rPr>
        <w:t>experience includes drafting and filing documents relating to the formation of business entities</w:t>
      </w:r>
      <w:r>
        <w:rPr>
          <w:color w:val="6E6158"/>
          <w:spacing w:val="40"/>
        </w:rPr>
        <w:t> </w:t>
      </w:r>
      <w:r>
        <w:rPr>
          <w:color w:val="6E6158"/>
        </w:rPr>
        <w:t>(both in Arizona and out-of-state), corporate mergers, maintenance of corporate records,</w:t>
      </w:r>
      <w:r>
        <w:rPr>
          <w:color w:val="6E6158"/>
          <w:spacing w:val="40"/>
        </w:rPr>
        <w:t> </w:t>
      </w:r>
      <w:r>
        <w:rPr>
          <w:color w:val="6E6158"/>
        </w:rPr>
        <w:t>drafting board of director and shareholder meeting minutes, annual statutory filings, issuance</w:t>
      </w:r>
      <w:r>
        <w:rPr>
          <w:color w:val="6E6158"/>
          <w:spacing w:val="80"/>
        </w:rPr>
        <w:t> </w:t>
      </w:r>
      <w:r>
        <w:rPr>
          <w:color w:val="6E6158"/>
        </w:rPr>
        <w:t>and transfers of corporate stock, UCC filings, UCC searches and corporate searches.</w:t>
      </w:r>
      <w:r>
        <w:rPr>
          <w:color w:val="6E6158"/>
          <w:spacing w:val="80"/>
        </w:rPr>
        <w:t> </w:t>
      </w:r>
      <w:r>
        <w:rPr>
          <w:color w:val="6E6158"/>
        </w:rPr>
        <w:t>Charlene also assists in the estate planning area with the transfer of various assets.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152816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775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16"/>
        </w:rPr>
        <w:t> </w:t>
      </w:r>
      <w:r>
        <w:rPr>
          <w:color w:val="6E6158"/>
        </w:rPr>
        <w:t>Program,</w:t>
      </w:r>
      <w:r>
        <w:rPr>
          <w:color w:val="6E6158"/>
          <w:spacing w:val="17"/>
        </w:rPr>
        <w:t> </w:t>
      </w:r>
      <w:r>
        <w:rPr>
          <w:color w:val="6E6158"/>
        </w:rPr>
        <w:t>Phoenix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87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413pt;width:1.65pt;height:1.65pt;mso-position-horizontal-relative:page;mso-position-vertical-relative:paragraph;z-index:15730176" id="docshape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674448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6159pt;width:1.65pt;height:1.65pt;mso-position-horizontal-relative:page;mso-position-vertical-relative:paragraph;z-index:15730688" id="docshape10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932813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9913pt;width:1.65pt;height:1.65pt;mso-position-horizontal-relative:page;mso-position-vertical-relative:paragraph;z-index:15731200" id="docshape11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 Trusts &amp; Estates</w:t>
      </w:r>
    </w:p>
    <w:p>
      <w:pPr>
        <w:pStyle w:val="Heading1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152903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674pt;width:1.65pt;height:1.65pt;mso-position-horizontal-relative:page;mso-position-vertical-relative:paragraph;z-index:1573171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Paralegal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6pt;width:1.65pt;height:1.65pt;mso-position-horizontal-relative:page;mso-position-vertical-relative:paragraph;z-index:15732224" id="docshape13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sarich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2025-01-02T06:53:16Z</dcterms:created>
  <dcterms:modified xsi:type="dcterms:W3CDTF">2025-01-02T06:53:16Z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