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581400"/>
                <wp:effectExtent l="0" t="0" r="0" b="952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581400"/>
                          <a:chExt cx="6066790" cy="358140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12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1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12795">
                                <a:moveTo>
                                  <a:pt x="3033212" y="3312247"/>
                                </a:moveTo>
                                <a:lnTo>
                                  <a:pt x="0" y="331224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1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312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34" w:right="63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CHRISTOPHER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T. WILSON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634" w:right="63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Fennemore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Forward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7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634" w:right="634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770.833.4034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34" w:right="6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cwilson@fennemorelaw.com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82pt;mso-position-horizontal-relative:char;mso-position-vertical-relative:line" id="docshapegroup1" coordorigin="0,0" coordsize="9554,5640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217" type="#_x0000_t75" id="docshape3" stroked="false">
                  <v:imagedata r:id="rId7" o:title=""/>
                </v:shape>
                <v:rect style="position:absolute;left:4776;top:423;width:4777;height:5217" id="docshape4" filled="true" fillcolor="#262424" stroked="false">
                  <v:fill type="solid"/>
                </v:rect>
                <v:shape style="position:absolute;left:5500;top:2831;width:3337;height:505" id="docshape5" coordorigin="5501,2832" coordsize="3337,505" path="m8837,3328l5501,3328,5501,3336,8837,3336,8837,3328xm8837,2832l5501,2832,5501,2840,8837,2840,8837,283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21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34" w:right="63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CHRISTOPHER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T. WILSON</w:t>
                        </w:r>
                      </w:p>
                      <w:p>
                        <w:pPr>
                          <w:spacing w:line="199" w:lineRule="auto" w:before="89"/>
                          <w:ind w:left="634" w:right="63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Fennemore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Forward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7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5"/>
                          <w:ind w:left="634" w:right="634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770.833.4034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634" w:right="63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cwilson@fennemorelaw.com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CHRISTOPHER</w:t>
      </w:r>
      <w:r>
        <w:rPr>
          <w:color w:val="FF8100"/>
          <w:spacing w:val="9"/>
        </w:rPr>
        <w:t> </w:t>
      </w:r>
      <w:r>
        <w:rPr>
          <w:color w:val="FF8100"/>
        </w:rPr>
        <w:t>T.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WILSON</w:t>
      </w:r>
    </w:p>
    <w:p>
      <w:pPr>
        <w:pStyle w:val="BodyText"/>
        <w:spacing w:line="297" w:lineRule="auto" w:before="147"/>
        <w:ind w:right="522"/>
      </w:pPr>
      <w:r>
        <w:rPr>
          <w:color w:val="6E6158"/>
        </w:rPr>
        <w:t>Chris Wilson spearheads our firm’s “Fennemore Forward” program, our remote attorney program</w:t>
      </w:r>
      <w:r>
        <w:rPr>
          <w:color w:val="6E6158"/>
          <w:spacing w:val="40"/>
        </w:rPr>
        <w:t> </w:t>
      </w:r>
      <w:r>
        <w:rPr>
          <w:color w:val="6E6158"/>
        </w:rPr>
        <w:t>creating a new business model for happier, more productive attorneys. In a prior role, Chris</w:t>
      </w:r>
      <w:r>
        <w:rPr>
          <w:color w:val="6E6158"/>
          <w:spacing w:val="40"/>
        </w:rPr>
        <w:t> </w:t>
      </w:r>
      <w:r>
        <w:rPr>
          <w:color w:val="6E6158"/>
        </w:rPr>
        <w:t>created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developed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remote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program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traditional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firm</w:t>
      </w:r>
      <w:r>
        <w:rPr>
          <w:color w:val="6E6158"/>
          <w:spacing w:val="28"/>
        </w:rPr>
        <w:t> </w:t>
      </w:r>
      <w:r>
        <w:rPr>
          <w:color w:val="6E6158"/>
        </w:rPr>
        <w:t>based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Atlanta</w:t>
      </w:r>
    </w:p>
    <w:p>
      <w:pPr>
        <w:pStyle w:val="BodyText"/>
        <w:spacing w:line="295" w:lineRule="auto"/>
        <w:ind w:right="504"/>
      </w:pPr>
      <w:r>
        <w:rPr>
          <w:color w:val="6E6158"/>
        </w:rPr>
        <w:t>that</w:t>
      </w:r>
      <w:r>
        <w:rPr>
          <w:color w:val="6E6158"/>
          <w:spacing w:val="17"/>
        </w:rPr>
        <w:t> </w:t>
      </w:r>
      <w:r>
        <w:rPr>
          <w:color w:val="6E6158"/>
        </w:rPr>
        <w:t>generated</w:t>
      </w:r>
      <w:r>
        <w:rPr>
          <w:color w:val="6E6158"/>
          <w:spacing w:val="17"/>
        </w:rPr>
        <w:t> </w:t>
      </w:r>
      <w:r>
        <w:rPr>
          <w:color w:val="6E6158"/>
        </w:rPr>
        <w:t>over</w:t>
      </w:r>
      <w:r>
        <w:rPr>
          <w:color w:val="6E6158"/>
          <w:spacing w:val="17"/>
        </w:rPr>
        <w:t> </w:t>
      </w:r>
      <w:r>
        <w:rPr>
          <w:color w:val="6E6158"/>
        </w:rPr>
        <w:t>$12</w:t>
      </w:r>
      <w:r>
        <w:rPr>
          <w:color w:val="6E6158"/>
          <w:spacing w:val="17"/>
        </w:rPr>
        <w:t> </w:t>
      </w:r>
      <w:r>
        <w:rPr>
          <w:color w:val="6E6158"/>
        </w:rPr>
        <w:t>million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gross</w:t>
      </w:r>
      <w:r>
        <w:rPr>
          <w:color w:val="6E6158"/>
          <w:spacing w:val="17"/>
        </w:rPr>
        <w:t> </w:t>
      </w:r>
      <w:r>
        <w:rPr>
          <w:color w:val="6E6158"/>
        </w:rPr>
        <w:t>revenue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2022.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also</w:t>
      </w:r>
      <w:r>
        <w:rPr>
          <w:color w:val="6E6158"/>
          <w:spacing w:val="17"/>
        </w:rPr>
        <w:t> </w:t>
      </w:r>
      <w:r>
        <w:rPr>
          <w:color w:val="6E6158"/>
        </w:rPr>
        <w:t>successfully</w:t>
      </w:r>
      <w:r>
        <w:rPr>
          <w:color w:val="6E6158"/>
          <w:spacing w:val="17"/>
        </w:rPr>
        <w:t> </w:t>
      </w:r>
      <w:r>
        <w:rPr>
          <w:color w:val="6E6158"/>
        </w:rPr>
        <w:t>recruited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excess of 50 attorneys nationally to join the firm, managed these attorneys, and led numerous recruiting</w:t>
      </w:r>
      <w:r>
        <w:rPr>
          <w:color w:val="6E6158"/>
          <w:spacing w:val="40"/>
        </w:rPr>
        <w:t> </w:t>
      </w:r>
      <w:r>
        <w:rPr>
          <w:color w:val="6E6158"/>
        </w:rPr>
        <w:t>and marketing campaigns regarding the positioning of the law firm as “hybrid.” At Fennemore,</w:t>
      </w:r>
      <w:r>
        <w:rPr>
          <w:color w:val="6E6158"/>
          <w:spacing w:val="40"/>
        </w:rPr>
        <w:t> </w:t>
      </w:r>
      <w:r>
        <w:rPr>
          <w:color w:val="6E6158"/>
        </w:rPr>
        <w:t>he’s</w:t>
      </w:r>
      <w:r>
        <w:rPr>
          <w:color w:val="6E6158"/>
          <w:spacing w:val="27"/>
        </w:rPr>
        <w:t> </w:t>
      </w:r>
      <w:r>
        <w:rPr>
          <w:color w:val="6E6158"/>
        </w:rPr>
        <w:t>involved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elements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building</w:t>
      </w:r>
      <w:r>
        <w:rPr>
          <w:color w:val="6E6158"/>
          <w:spacing w:val="27"/>
        </w:rPr>
        <w:t> </w:t>
      </w:r>
      <w:r>
        <w:rPr>
          <w:color w:val="6E6158"/>
        </w:rPr>
        <w:t>out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national</w:t>
      </w:r>
      <w:r>
        <w:rPr>
          <w:color w:val="6E6158"/>
          <w:spacing w:val="27"/>
        </w:rPr>
        <w:t> </w:t>
      </w:r>
      <w:r>
        <w:rPr>
          <w:color w:val="6E6158"/>
        </w:rPr>
        <w:t>footprint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remote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</w:p>
    <w:p>
      <w:pPr>
        <w:pStyle w:val="BodyText"/>
        <w:spacing w:line="292" w:lineRule="auto"/>
        <w:ind w:right="488"/>
      </w:pPr>
      <w:r>
        <w:rPr>
          <w:color w:val="6E6158"/>
        </w:rPr>
        <w:t>program, managing the separate financial component of the program, and leading </w:t>
      </w:r>
      <w:r>
        <w:rPr>
          <w:color w:val="6E6158"/>
        </w:rPr>
        <w:t>the integration efforts with respect to the traditional side of the firm.</w:t>
      </w:r>
    </w:p>
    <w:p>
      <w:pPr>
        <w:pStyle w:val="BodyText"/>
        <w:spacing w:line="292" w:lineRule="auto" w:before="202"/>
        <w:ind w:right="488"/>
      </w:pPr>
      <w:r>
        <w:rPr>
          <w:color w:val="6E6158"/>
        </w:rPr>
        <w:t>As a business lawyer, in his practice Chris works with small to midsize companies in transactional</w:t>
      </w:r>
      <w:r>
        <w:rPr>
          <w:color w:val="6E6158"/>
          <w:spacing w:val="40"/>
        </w:rPr>
        <w:t> </w:t>
      </w:r>
      <w:r>
        <w:rPr>
          <w:color w:val="6E6158"/>
        </w:rPr>
        <w:t>matters, involving debt financing, mergers and acquisitions, commercial contracts, 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 and shareholder issues, and commercial contracts.</w:t>
      </w:r>
    </w:p>
    <w:p>
      <w:pPr>
        <w:pStyle w:val="BodyText"/>
        <w:spacing w:line="297" w:lineRule="auto" w:before="197"/>
        <w:ind w:right="488"/>
      </w:pPr>
      <w:r>
        <w:rPr>
          <w:color w:val="6E6158"/>
        </w:rPr>
        <w:t>Raised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Georgia,</w:t>
      </w:r>
      <w:r>
        <w:rPr>
          <w:color w:val="6E6158"/>
          <w:spacing w:val="33"/>
        </w:rPr>
        <w:t> </w:t>
      </w:r>
      <w:r>
        <w:rPr>
          <w:color w:val="6E6158"/>
        </w:rPr>
        <w:t>Chris</w:t>
      </w:r>
      <w:r>
        <w:rPr>
          <w:color w:val="6E6158"/>
          <w:spacing w:val="33"/>
        </w:rPr>
        <w:t> </w:t>
      </w:r>
      <w:r>
        <w:rPr>
          <w:color w:val="6E6158"/>
        </w:rPr>
        <w:t>enjoys</w:t>
      </w:r>
      <w:r>
        <w:rPr>
          <w:color w:val="6E6158"/>
          <w:spacing w:val="33"/>
        </w:rPr>
        <w:t> </w:t>
      </w:r>
      <w:r>
        <w:rPr>
          <w:color w:val="6E6158"/>
        </w:rPr>
        <w:t>helping</w:t>
      </w:r>
      <w:r>
        <w:rPr>
          <w:color w:val="6E6158"/>
          <w:spacing w:val="33"/>
        </w:rPr>
        <w:t> </w:t>
      </w:r>
      <w:r>
        <w:rPr>
          <w:color w:val="6E6158"/>
        </w:rPr>
        <w:t>attorneys</w:t>
      </w:r>
      <w:r>
        <w:rPr>
          <w:color w:val="6E6158"/>
          <w:spacing w:val="33"/>
        </w:rPr>
        <w:t> </w:t>
      </w:r>
      <w:r>
        <w:rPr>
          <w:color w:val="6E6158"/>
        </w:rPr>
        <w:t>improve</w:t>
      </w:r>
      <w:r>
        <w:rPr>
          <w:color w:val="6E6158"/>
          <w:spacing w:val="33"/>
        </w:rPr>
        <w:t> </w:t>
      </w:r>
      <w:r>
        <w:rPr>
          <w:color w:val="6E6158"/>
        </w:rPr>
        <w:t>their</w:t>
      </w:r>
      <w:r>
        <w:rPr>
          <w:color w:val="6E6158"/>
          <w:spacing w:val="33"/>
        </w:rPr>
        <w:t> </w:t>
      </w:r>
      <w:r>
        <w:rPr>
          <w:color w:val="6E6158"/>
        </w:rPr>
        <w:t>professional</w:t>
      </w:r>
      <w:r>
        <w:rPr>
          <w:color w:val="6E6158"/>
          <w:spacing w:val="33"/>
        </w:rPr>
        <w:t> </w:t>
      </w:r>
      <w:r>
        <w:rPr>
          <w:color w:val="6E6158"/>
        </w:rPr>
        <w:t>experiences</w:t>
      </w:r>
      <w:r>
        <w:rPr>
          <w:color w:val="6E6158"/>
          <w:spacing w:val="33"/>
        </w:rPr>
        <w:t> </w:t>
      </w:r>
      <w:r>
        <w:rPr>
          <w:color w:val="6E6158"/>
        </w:rPr>
        <w:t>–</w:t>
      </w:r>
      <w:r>
        <w:rPr>
          <w:color w:val="6E6158"/>
          <w:spacing w:val="33"/>
        </w:rPr>
        <w:t> </w:t>
      </w:r>
      <w:r>
        <w:rPr>
          <w:color w:val="6E6158"/>
        </w:rPr>
        <w:t>and he’s a national proponent of flexible, hybrid working models in the legal profession, leading to</w:t>
      </w:r>
      <w:r>
        <w:rPr>
          <w:color w:val="6E6158"/>
          <w:spacing w:val="40"/>
        </w:rPr>
        <w:t> </w:t>
      </w:r>
      <w:r>
        <w:rPr>
          <w:color w:val="6E6158"/>
        </w:rPr>
        <w:t>happier</w:t>
      </w:r>
      <w:r>
        <w:rPr>
          <w:color w:val="6E6158"/>
          <w:spacing w:val="15"/>
        </w:rPr>
        <w:t> </w:t>
      </w:r>
      <w:r>
        <w:rPr>
          <w:color w:val="6E6158"/>
        </w:rPr>
        <w:t>lawyers,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better</w:t>
      </w:r>
      <w:r>
        <w:rPr>
          <w:color w:val="6E6158"/>
          <w:spacing w:val="15"/>
        </w:rPr>
        <w:t> </w:t>
      </w:r>
      <w:r>
        <w:rPr>
          <w:color w:val="6E6158"/>
        </w:rPr>
        <w:t>outcomes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outside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traditional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firm</w:t>
      </w:r>
      <w:r>
        <w:rPr>
          <w:color w:val="6E6158"/>
          <w:spacing w:val="15"/>
        </w:rPr>
        <w:t> </w:t>
      </w:r>
      <w:r>
        <w:rPr>
          <w:color w:val="6E6158"/>
        </w:rPr>
        <w:t>structure.</w:t>
      </w:r>
    </w:p>
    <w:p>
      <w:pPr>
        <w:pStyle w:val="BodyText"/>
        <w:spacing w:line="295" w:lineRule="auto" w:before="191"/>
        <w:ind w:right="623"/>
      </w:pPr>
      <w:r>
        <w:rPr>
          <w:color w:val="6E6158"/>
        </w:rPr>
        <w:t>Chris is based in Charleston, South Carolina. In the fall, you’ll find Chris at home and on the road</w:t>
      </w:r>
      <w:r>
        <w:rPr>
          <w:color w:val="6E6158"/>
          <w:spacing w:val="40"/>
        </w:rPr>
        <w:t> </w:t>
      </w:r>
      <w:r>
        <w:rPr>
          <w:color w:val="6E6158"/>
        </w:rPr>
        <w:t>as a super fan of the University of Georgia football team in the SEC Conference. Chris’ family</w:t>
      </w:r>
      <w:r>
        <w:rPr>
          <w:color w:val="6E6158"/>
          <w:spacing w:val="40"/>
        </w:rPr>
        <w:t> </w:t>
      </w:r>
      <w:r>
        <w:rPr>
          <w:color w:val="6E6158"/>
        </w:rPr>
        <w:t>consists of three girls, and his wife is currently transitioning into a second career working as a</w:t>
      </w:r>
      <w:r>
        <w:rPr>
          <w:color w:val="6E6158"/>
          <w:spacing w:val="40"/>
        </w:rPr>
        <w:t> </w:t>
      </w:r>
      <w:r>
        <w:rPr>
          <w:color w:val="6E6158"/>
        </w:rPr>
        <w:t>forensic</w:t>
      </w:r>
      <w:r>
        <w:rPr>
          <w:color w:val="6E6158"/>
          <w:spacing w:val="26"/>
        </w:rPr>
        <w:t> </w:t>
      </w:r>
      <w:r>
        <w:rPr>
          <w:color w:val="6E6158"/>
        </w:rPr>
        <w:t>pathologist.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when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really</w:t>
      </w:r>
      <w:r>
        <w:rPr>
          <w:color w:val="6E6158"/>
          <w:spacing w:val="26"/>
        </w:rPr>
        <w:t> </w:t>
      </w:r>
      <w:r>
        <w:rPr>
          <w:color w:val="6E6158"/>
        </w:rPr>
        <w:t>wants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relax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unwind,</w:t>
      </w:r>
      <w:r>
        <w:rPr>
          <w:color w:val="6E6158"/>
          <w:spacing w:val="26"/>
        </w:rPr>
        <w:t> </w:t>
      </w:r>
      <w:r>
        <w:rPr>
          <w:color w:val="6E6158"/>
        </w:rPr>
        <w:t>Chis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bourbon</w:t>
      </w:r>
    </w:p>
    <w:p>
      <w:pPr>
        <w:pStyle w:val="BodyText"/>
        <w:spacing w:line="302" w:lineRule="auto" w:before="2"/>
        <w:ind w:right="488"/>
      </w:pPr>
      <w:r>
        <w:rPr>
          <w:color w:val="6E6158"/>
        </w:rPr>
        <w:t>aficionado with a growing collection of fine spirits. Ask him about Redbreast Single Pot Still Irish</w:t>
      </w:r>
      <w:r>
        <w:rPr>
          <w:color w:val="6E6158"/>
          <w:spacing w:val="40"/>
        </w:rPr>
        <w:t> </w:t>
      </w:r>
      <w:r>
        <w:rPr>
          <w:color w:val="6E6158"/>
        </w:rPr>
        <w:t>Whiskey – the Lustau Edition.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254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Georgia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c</w:t>
      </w:r>
      <w:r>
        <w:rPr>
          <w:i/>
          <w:color w:val="6E6158"/>
          <w:sz w:val="20"/>
        </w:rPr>
        <w:t>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172"/>
        <w:ind w:left="356" w:right="64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168748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262pt;width:1.65pt;height:1.65pt;mso-position-horizontal-relative:page;mso-position-vertical-relative:paragraph;z-index:15729664" id="docshape8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427113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31012pt;width:1.65pt;height:1.65pt;mso-position-horizontal-relative:page;mso-position-vertical-relative:paragraph;z-index:15730176" id="docshape9" coordorigin="1675,673" coordsize="33,33" path="m1696,705l1687,705,1683,704,1676,697,1675,693,1675,684,1676,681,1683,674,1687,673,1696,673,1699,674,1706,681,1707,684,1707,689,1707,693,1706,697,1699,704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M.B.A, University of </w:t>
      </w:r>
      <w:r>
        <w:rPr>
          <w:color w:val="6E6158"/>
        </w:rPr>
        <w:t>Georgia</w:t>
      </w:r>
      <w:r>
        <w:rPr>
          <w:color w:val="6E6158"/>
        </w:rPr>
        <w:t> B.A., Wake Forest University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  <w:ind w:left="91" w:right="724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0" w:right="72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Georgia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cwil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2025-01-02T06:27:45Z</dcterms:created>
  <dcterms:modified xsi:type="dcterms:W3CDTF">2025-01-02T06:27:45Z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