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863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86375"/>
                          <a:chExt cx="6066790" cy="5286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8712" y="763308"/>
                            <a:ext cx="16351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CHRISTOPHER WALTHER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702.791.8227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8528" y="2763906"/>
                            <a:ext cx="1535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cwalther@fennemorelaw.com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19563"/>
                            <a:ext cx="4060190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2"/>
                                <w:ind w:left="79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credit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belongs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actually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arena...who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</w:p>
                            <w:p>
                              <w:pPr>
                                <w:spacing w:line="1762" w:lineRule="exact" w:before="0"/>
                                <w:ind w:left="0" w:right="0" w:firstLine="0"/>
                                <w:jc w:val="left"/>
                                <w:rPr>
                                  <w:position w:val="28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55"/>
                                  <w:w w:val="99"/>
                                  <w:position w:val="-89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56"/>
                                  <w:position w:val="28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11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7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6"/>
                                </w:rPr>
                                <w:t>fail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-27"/>
                                  <w:sz w:val="16"/>
                                </w:rPr>
                                <w:t>thos</w:t>
                              </w:r>
                              <w:r>
                                <w:rPr>
                                  <w:color w:val="FFFFFF"/>
                                  <w:spacing w:val="-361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62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28"/>
                                  <w:sz w:val="16"/>
                                </w:rPr>
                                <w:t>ws</w:t>
                              </w:r>
                              <w:r>
                                <w:rPr>
                                  <w:color w:val="FFFFFF"/>
                                  <w:spacing w:val="18"/>
                                  <w:position w:val="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2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0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1"/>
                                  <w:position w:val="2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ol</w:t>
                              </w:r>
                              <w:r>
                                <w:rPr>
                                  <w:color w:val="FFFFFF"/>
                                  <w:spacing w:val="-45"/>
                                  <w:position w:val="-2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Theodor</w:t>
                              </w:r>
                              <w:r>
                                <w:rPr>
                                  <w:color w:val="FFFFFF"/>
                                  <w:spacing w:val="-765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01"/>
                                  <w:position w:val="-5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1"/>
                                  <w:position w:val="-2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4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30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292"/>
                                  <w:position w:val="-2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FFFFFF"/>
                                  <w:spacing w:val="-25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7"/>
                                  <w:position w:val="2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wh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imi</w:t>
                              </w:r>
                              <w:r>
                                <w:rPr>
                                  <w:color w:val="FFFFFF"/>
                                  <w:spacing w:val="-38"/>
                                  <w:position w:val="-27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Roosevelt</w:t>
                              </w:r>
                              <w:r>
                                <w:rPr>
                                  <w:color w:val="FFFFFF"/>
                                  <w:spacing w:val="-1087"/>
                                  <w:position w:val="-5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FFFFFF"/>
                                  <w:spacing w:val="-34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e </w:t>
                              </w:r>
                              <w:r>
                                <w:rPr>
                                  <w:color w:val="FFFFFF"/>
                                  <w:spacing w:val="-43"/>
                                  <w:position w:val="28"/>
                                  <w:sz w:val="16"/>
                                </w:rPr>
                                <w:t>triu</w:t>
                              </w:r>
                              <w:r>
                                <w:rPr>
                                  <w:color w:val="FFFFFF"/>
                                  <w:spacing w:val="-61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4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3"/>
                                  <w:position w:val="-27"/>
                                  <w:sz w:val="16"/>
                                </w:rPr>
                                <w:t>oul</w:t>
                              </w:r>
                              <w:r>
                                <w:rPr>
                                  <w:color w:val="FFFFFF"/>
                                  <w:spacing w:val="-380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2"/>
                                  <w:position w:val="-2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16"/>
                                </w:rPr>
                                <w:t>rin</w:t>
                              </w:r>
                              <w:r>
                                <w:rPr>
                                  <w:color w:val="FFFFFF"/>
                                  <w:spacing w:val="-524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43"/>
                                  <w:position w:val="2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37"/>
                                  <w:position w:val="2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4"/>
                                  <w:position w:val="28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100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wh</w:t>
                              </w:r>
                              <w:r>
                                <w:rPr>
                                  <w:color w:val="FFFFFF"/>
                                  <w:spacing w:val="-237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"Th</w:t>
                              </w:r>
                              <w:r>
                                <w:rPr>
                                  <w:color w:val="FFFFFF"/>
                                  <w:spacing w:val="-312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neit</w:t>
                              </w:r>
                              <w:r>
                                <w:rPr>
                                  <w:color w:val="FFFFFF"/>
                                  <w:spacing w:val="-47"/>
                                  <w:position w:val="-27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color w:val="FFFFFF"/>
                                  <w:spacing w:val="-309"/>
                                  <w:position w:val="-56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87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ly</w:t>
                              </w:r>
                              <w:r>
                                <w:rPr>
                                  <w:color w:val="FFFFFF"/>
                                  <w:spacing w:val="-5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hig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h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position w:val="28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62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hi</w:t>
                              </w:r>
                              <w:r>
                                <w:rPr>
                                  <w:color w:val="FFFFFF"/>
                                  <w:spacing w:val="-32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17"/>
                                  <w:position w:val="-2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6"/>
                                  <w:position w:val="-56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8"/>
                                  <w:position w:val="-27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250"/>
                                  <w:position w:val="-5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65"/>
                                  <w:position w:val="-56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79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25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hi</w:t>
                              </w:r>
                              <w:r>
                                <w:rPr>
                                  <w:color w:val="FFFFFF"/>
                                  <w:spacing w:val="-16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5"/>
                                  <w:position w:val="-27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Arena</w:t>
                              </w:r>
                              <w:r>
                                <w:rPr>
                                  <w:color w:val="FFFFFF"/>
                                  <w:spacing w:val="-459"/>
                                  <w:position w:val="-56"/>
                                  <w:sz w:val="16"/>
                                </w:rPr>
                                <w:t>"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tor</w:t>
                              </w:r>
                              <w:r>
                                <w:rPr>
                                  <w:color w:val="FFFFFF"/>
                                  <w:spacing w:val="-494"/>
                                  <w:position w:val="-27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2"/>
                                  <w:position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lac</w:t>
                              </w:r>
                              <w:r>
                                <w:rPr>
                                  <w:color w:val="FFFFFF"/>
                                  <w:spacing w:val="-45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, and </w:t>
                              </w:r>
                              <w:r>
                                <w:rPr>
                                  <w:color w:val="FFFFFF"/>
                                  <w:spacing w:val="-61"/>
                                  <w:position w:val="2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253"/>
                                  <w:position w:val="-2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hal</w:t>
                              </w:r>
                              <w:r>
                                <w:rPr>
                                  <w:color w:val="FFFFFF"/>
                                  <w:spacing w:val="-318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4"/>
                                  <w:position w:val="28"/>
                                  <w:sz w:val="16"/>
                                </w:rPr>
                                <w:t>ho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27"/>
                                  <w:sz w:val="16"/>
                                </w:rPr>
                                <w:t>defeat</w:t>
                              </w:r>
                              <w:r>
                                <w:rPr>
                                  <w:color w:val="FFFFFF"/>
                                  <w:spacing w:val="-547"/>
                                  <w:position w:val="-27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color w:val="FFFFFF"/>
                                  <w:spacing w:val="-42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6"/>
                                  <w:position w:val="28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35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1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16"/>
                                  <w:position w:val="2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10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6"/>
                                </w:rPr>
                                <w:t>wit</w:t>
                              </w:r>
                              <w:r>
                                <w:rPr>
                                  <w:color w:val="FFFFFF"/>
                                  <w:spacing w:val="-279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16"/>
                                  <w:position w:val="28"/>
                                  <w:sz w:val="16"/>
                                </w:rPr>
                                <w:t>rst</w:t>
                              </w:r>
                              <w:r>
                                <w:rPr>
                                  <w:color w:val="FFFFFF"/>
                                  <w:spacing w:val="22"/>
                                  <w:position w:val="28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4"/>
                                  <w:position w:val="28"/>
                                  <w:sz w:val="16"/>
                                </w:rPr>
                                <w:t>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412326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6.25pt;mso-position-horizontal-relative:page;mso-position-vertical-relative:page;z-index:15728640" id="docshapegroup1" coordorigin="1341,560" coordsize="9554,8325">
                <v:rect style="position:absolute;left:1341;top:5955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8;top:1762;width:257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CHRISTOPHER WALTHER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702.791.8227</w:t>
                        </w:r>
                      </w:p>
                    </w:txbxContent>
                  </v:textbox>
                  <w10:wrap type="none"/>
                </v:shape>
                <v:shape style="position:absolute;left:7307;top:4912;width:241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cwalther@fennemorelaw.com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890;width:6394;height:1950" type="#_x0000_t202" id="docshape10" filled="false" stroked="false">
                  <v:textbox inset="0,0,0,0">
                    <w:txbxContent>
                      <w:p>
                        <w:pPr>
                          <w:spacing w:line="184" w:lineRule="exact" w:before="2"/>
                          <w:ind w:left="79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credit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belongs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actually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arena...who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</w:p>
                      <w:p>
                        <w:pPr>
                          <w:spacing w:line="1762" w:lineRule="exact" w:before="0"/>
                          <w:ind w:left="0" w:right="0" w:firstLine="0"/>
                          <w:jc w:val="left"/>
                          <w:rPr>
                            <w:position w:val="28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55"/>
                            <w:w w:val="99"/>
                            <w:position w:val="-89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56"/>
                            <w:position w:val="28"/>
                            <w:sz w:val="16"/>
                          </w:rPr>
                          <w:t>k</w:t>
                        </w:r>
                        <w:r>
                          <w:rPr>
                            <w:color w:val="FFFFFF"/>
                            <w:spacing w:val="12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114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2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7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12"/>
                            <w:sz w:val="16"/>
                          </w:rPr>
                          <w:t>fail</w:t>
                        </w:r>
                        <w:r>
                          <w:rPr>
                            <w:color w:val="FFFFFF"/>
                            <w:spacing w:val="-1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12"/>
                            <w:position w:val="-27"/>
                            <w:sz w:val="16"/>
                          </w:rPr>
                          <w:t>thos</w:t>
                        </w:r>
                        <w:r>
                          <w:rPr>
                            <w:color w:val="FFFFFF"/>
                            <w:spacing w:val="-361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62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12"/>
                            <w:position w:val="28"/>
                            <w:sz w:val="16"/>
                          </w:rPr>
                          <w:t>ws</w:t>
                        </w:r>
                        <w:r>
                          <w:rPr>
                            <w:color w:val="FFFFFF"/>
                            <w:spacing w:val="18"/>
                            <w:position w:val="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2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80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4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41"/>
                            <w:position w:val="2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ol</w:t>
                        </w:r>
                        <w:r>
                          <w:rPr>
                            <w:color w:val="FFFFFF"/>
                            <w:spacing w:val="-45"/>
                            <w:position w:val="-27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Theodor</w:t>
                        </w:r>
                        <w:r>
                          <w:rPr>
                            <w:color w:val="FFFFFF"/>
                            <w:spacing w:val="-765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01"/>
                            <w:position w:val="-5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1"/>
                            <w:position w:val="-2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34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0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25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292"/>
                            <w:position w:val="-27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color w:val="FFFFFF"/>
                            <w:spacing w:val="-254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47"/>
                            <w:position w:val="2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wh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imi</w:t>
                        </w:r>
                        <w:r>
                          <w:rPr>
                            <w:color w:val="FFFFFF"/>
                            <w:spacing w:val="-38"/>
                            <w:position w:val="-27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Roosevelt</w:t>
                        </w:r>
                        <w:r>
                          <w:rPr>
                            <w:color w:val="FFFFFF"/>
                            <w:spacing w:val="-1087"/>
                            <w:position w:val="-56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color w:val="FFFFFF"/>
                            <w:spacing w:val="-343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e </w:t>
                        </w:r>
                        <w:r>
                          <w:rPr>
                            <w:color w:val="FFFFFF"/>
                            <w:spacing w:val="-43"/>
                            <w:position w:val="28"/>
                            <w:sz w:val="16"/>
                          </w:rPr>
                          <w:t>triu</w:t>
                        </w:r>
                        <w:r>
                          <w:rPr>
                            <w:color w:val="FFFFFF"/>
                            <w:spacing w:val="-61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4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43"/>
                            <w:position w:val="-27"/>
                            <w:sz w:val="16"/>
                          </w:rPr>
                          <w:t>oul</w:t>
                        </w:r>
                        <w:r>
                          <w:rPr>
                            <w:color w:val="FFFFFF"/>
                            <w:spacing w:val="-380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42"/>
                            <w:position w:val="-27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43"/>
                            <w:sz w:val="16"/>
                          </w:rPr>
                          <w:t>rin</w:t>
                        </w:r>
                        <w:r>
                          <w:rPr>
                            <w:color w:val="FFFFFF"/>
                            <w:spacing w:val="-524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24"/>
                            <w:sz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43"/>
                            <w:position w:val="28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37"/>
                            <w:position w:val="2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4"/>
                            <w:position w:val="28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100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wh</w:t>
                        </w:r>
                        <w:r>
                          <w:rPr>
                            <w:color w:val="FFFFFF"/>
                            <w:spacing w:val="-237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"Th</w:t>
                        </w:r>
                        <w:r>
                          <w:rPr>
                            <w:color w:val="FFFFFF"/>
                            <w:spacing w:val="-312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neit</w:t>
                        </w:r>
                        <w:r>
                          <w:rPr>
                            <w:color w:val="FFFFFF"/>
                            <w:spacing w:val="-47"/>
                            <w:position w:val="-27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Ma</w:t>
                        </w:r>
                        <w:r>
                          <w:rPr>
                            <w:color w:val="FFFFFF"/>
                            <w:spacing w:val="-309"/>
                            <w:position w:val="-56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487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ly</w:t>
                        </w:r>
                        <w:r>
                          <w:rPr>
                            <w:color w:val="FFFFFF"/>
                            <w:spacing w:val="-5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hig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h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position w:val="28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162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hi</w:t>
                        </w:r>
                        <w:r>
                          <w:rPr>
                            <w:color w:val="FFFFFF"/>
                            <w:spacing w:val="-32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k</w:t>
                        </w:r>
                        <w:r>
                          <w:rPr>
                            <w:color w:val="FFFFFF"/>
                            <w:spacing w:val="-17"/>
                            <w:position w:val="-27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16"/>
                            <w:position w:val="-56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38"/>
                            <w:position w:val="-27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-250"/>
                            <w:position w:val="-56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365"/>
                            <w:position w:val="-56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279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ve</w:t>
                        </w:r>
                        <w:r>
                          <w:rPr>
                            <w:color w:val="FFFFFF"/>
                            <w:spacing w:val="-25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hi</w:t>
                        </w:r>
                        <w:r>
                          <w:rPr>
                            <w:color w:val="FFFFFF"/>
                            <w:spacing w:val="-165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55"/>
                            <w:position w:val="-27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Arena</w:t>
                        </w:r>
                        <w:r>
                          <w:rPr>
                            <w:color w:val="FFFFFF"/>
                            <w:spacing w:val="-459"/>
                            <w:position w:val="-56"/>
                            <w:sz w:val="16"/>
                          </w:rPr>
                          <w:t>"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tor</w:t>
                        </w:r>
                        <w:r>
                          <w:rPr>
                            <w:color w:val="FFFFFF"/>
                            <w:spacing w:val="-494"/>
                            <w:position w:val="-27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-2"/>
                            <w:position w:val="-27"/>
                            <w:sz w:val="16"/>
                          </w:rPr>
                          <w:t>v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lac</w:t>
                        </w:r>
                        <w:r>
                          <w:rPr>
                            <w:color w:val="FFFFFF"/>
                            <w:spacing w:val="-450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, and </w:t>
                        </w:r>
                        <w:r>
                          <w:rPr>
                            <w:color w:val="FFFFFF"/>
                            <w:spacing w:val="-61"/>
                            <w:position w:val="2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no</w:t>
                        </w:r>
                        <w:r>
                          <w:rPr>
                            <w:color w:val="FFFFFF"/>
                            <w:spacing w:val="-253"/>
                            <w:position w:val="-2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hal</w:t>
                        </w:r>
                        <w:r>
                          <w:rPr>
                            <w:color w:val="FFFFFF"/>
                            <w:spacing w:val="-318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4"/>
                            <w:position w:val="28"/>
                            <w:sz w:val="16"/>
                          </w:rPr>
                          <w:t>ho</w:t>
                        </w:r>
                        <w:r>
                          <w:rPr>
                            <w:color w:val="FFFFFF"/>
                            <w:spacing w:val="-22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-27"/>
                            <w:sz w:val="16"/>
                          </w:rPr>
                          <w:t>defeat</w:t>
                        </w:r>
                        <w:r>
                          <w:rPr>
                            <w:color w:val="FFFFFF"/>
                            <w:spacing w:val="-547"/>
                            <w:position w:val="-27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</w:t>
                        </w:r>
                        <w:r>
                          <w:rPr>
                            <w:color w:val="FFFFFF"/>
                            <w:spacing w:val="-425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6"/>
                            <w:position w:val="28"/>
                            <w:sz w:val="16"/>
                          </w:rPr>
                          <w:t>th</w:t>
                        </w:r>
                        <w:r>
                          <w:rPr>
                            <w:color w:val="FFFFFF"/>
                            <w:spacing w:val="35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6"/>
                            <w:sz w:val="16"/>
                          </w:rPr>
                          <w:t>b</w:t>
                        </w:r>
                        <w:r>
                          <w:rPr>
                            <w:color w:val="FFFFFF"/>
                            <w:spacing w:val="-170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16"/>
                            <w:position w:val="2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10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16"/>
                            <w:sz w:val="16"/>
                          </w:rPr>
                          <w:t>wit</w:t>
                        </w:r>
                        <w:r>
                          <w:rPr>
                            <w:color w:val="FFFFFF"/>
                            <w:spacing w:val="-279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16"/>
                            <w:position w:val="28"/>
                            <w:sz w:val="16"/>
                          </w:rPr>
                          <w:t>rst</w:t>
                        </w:r>
                        <w:r>
                          <w:rPr>
                            <w:color w:val="FFFFFF"/>
                            <w:spacing w:val="22"/>
                            <w:position w:val="28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4"/>
                            <w:position w:val="28"/>
                            <w:sz w:val="16"/>
                          </w:rPr>
                          <w:t>if</w:t>
                        </w:r>
                      </w:p>
                    </w:txbxContent>
                  </v:textbox>
                  <w10:wrap type="none"/>
                </v:shape>
                <v:shape style="position:absolute;left:8986;top:7053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53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CHRISTOPHER</w:t>
      </w:r>
      <w:r>
        <w:rPr>
          <w:b/>
          <w:color w:val="002E6B"/>
          <w:spacing w:val="16"/>
          <w:sz w:val="24"/>
        </w:rPr>
        <w:t> </w:t>
      </w:r>
      <w:r>
        <w:rPr>
          <w:b/>
          <w:color w:val="002E6B"/>
          <w:spacing w:val="-2"/>
          <w:sz w:val="24"/>
        </w:rPr>
        <w:t>WALTHER</w:t>
      </w:r>
    </w:p>
    <w:p>
      <w:pPr>
        <w:pStyle w:val="BodyText"/>
        <w:spacing w:line="302" w:lineRule="auto" w:before="146"/>
        <w:ind w:left="104" w:right="351"/>
      </w:pPr>
      <w:r>
        <w:rPr>
          <w:color w:val="6E6158"/>
        </w:rPr>
        <w:t>Christopher Walther’s transactional practice focuses on corporate, business, and </w:t>
      </w:r>
      <w:r>
        <w:rPr>
          <w:color w:val="6E6158"/>
        </w:rPr>
        <w:t>commercial real estate matters.</w:t>
      </w:r>
    </w:p>
    <w:p>
      <w:pPr>
        <w:pStyle w:val="BodyText"/>
        <w:spacing w:line="292" w:lineRule="auto" w:before="186"/>
        <w:ind w:left="104" w:right="182"/>
      </w:pPr>
      <w:r>
        <w:rPr>
          <w:color w:val="6E6158"/>
        </w:rPr>
        <w:t>As a seasoned business attorney, Chris counsels clients on corporate organization,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restructuring</w:t>
      </w:r>
      <w:r>
        <w:rPr>
          <w:color w:val="6E6158"/>
          <w:spacing w:val="37"/>
        </w:rPr>
        <w:t> </w:t>
      </w:r>
      <w:r>
        <w:rPr>
          <w:color w:val="6E6158"/>
        </w:rPr>
        <w:t>(including</w:t>
      </w:r>
      <w:r>
        <w:rPr>
          <w:color w:val="6E6158"/>
          <w:spacing w:val="37"/>
        </w:rPr>
        <w:t> </w:t>
      </w:r>
      <w:r>
        <w:rPr>
          <w:color w:val="6E6158"/>
        </w:rPr>
        <w:t>mergers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acquisitions),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well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negotiating,</w:t>
      </w:r>
      <w:r>
        <w:rPr>
          <w:color w:val="6E6158"/>
          <w:spacing w:val="37"/>
        </w:rPr>
        <w:t> </w:t>
      </w:r>
      <w:r>
        <w:rPr>
          <w:color w:val="6E6158"/>
        </w:rPr>
        <w:t>drafting,</w:t>
      </w:r>
    </w:p>
    <w:p>
      <w:pPr>
        <w:pStyle w:val="BodyText"/>
        <w:spacing w:line="295" w:lineRule="auto" w:before="1"/>
        <w:ind w:left="104" w:right="296"/>
      </w:pPr>
      <w:r>
        <w:rPr>
          <w:color w:val="6E6158"/>
        </w:rPr>
        <w:t>interpreting, complying with and minimizing risk under a diverse range of business agreements</w:t>
      </w:r>
      <w:r>
        <w:rPr>
          <w:color w:val="6E6158"/>
          <w:spacing w:val="40"/>
        </w:rPr>
        <w:t> </w:t>
      </w:r>
      <w:r>
        <w:rPr>
          <w:color w:val="6E6158"/>
        </w:rPr>
        <w:t>and contracts. Chris aids commercial lenders and borrowers in negotiating, documenting,</w:t>
      </w:r>
      <w:r>
        <w:rPr>
          <w:color w:val="6E6158"/>
          <w:spacing w:val="40"/>
        </w:rPr>
        <w:t> </w:t>
      </w:r>
      <w:r>
        <w:rPr>
          <w:color w:val="6E6158"/>
        </w:rPr>
        <w:t>modifying and foreclosing on secured loans, and advises sellers, buyers, lessors and lessees in</w:t>
      </w:r>
      <w:r>
        <w:rPr>
          <w:color w:val="6E6158"/>
          <w:spacing w:val="40"/>
        </w:rPr>
        <w:t> </w:t>
      </w:r>
      <w:r>
        <w:rPr>
          <w:color w:val="6E6158"/>
        </w:rPr>
        <w:t>acquiring,</w:t>
      </w:r>
      <w:r>
        <w:rPr>
          <w:color w:val="6E6158"/>
          <w:spacing w:val="18"/>
        </w:rPr>
        <w:t> </w:t>
      </w:r>
      <w:r>
        <w:rPr>
          <w:color w:val="6E6158"/>
        </w:rPr>
        <w:t>financing,</w:t>
      </w:r>
      <w:r>
        <w:rPr>
          <w:color w:val="6E6158"/>
          <w:spacing w:val="18"/>
        </w:rPr>
        <w:t> </w:t>
      </w:r>
      <w:r>
        <w:rPr>
          <w:color w:val="6E6158"/>
        </w:rPr>
        <w:t>operating,</w:t>
      </w:r>
      <w:r>
        <w:rPr>
          <w:color w:val="6E6158"/>
          <w:spacing w:val="18"/>
        </w:rPr>
        <w:t> </w:t>
      </w:r>
      <w:r>
        <w:rPr>
          <w:color w:val="6E6158"/>
        </w:rPr>
        <w:t>leasing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selling</w:t>
      </w:r>
      <w:r>
        <w:rPr>
          <w:color w:val="6E6158"/>
          <w:spacing w:val="18"/>
        </w:rPr>
        <w:t> </w:t>
      </w:r>
      <w:r>
        <w:rPr>
          <w:color w:val="6E6158"/>
        </w:rPr>
        <w:t>commercial</w:t>
      </w:r>
      <w:r>
        <w:rPr>
          <w:color w:val="6E6158"/>
          <w:spacing w:val="18"/>
        </w:rPr>
        <w:t> </w:t>
      </w:r>
      <w:r>
        <w:rPr>
          <w:color w:val="6E6158"/>
        </w:rPr>
        <w:t>real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personal</w:t>
      </w:r>
      <w:r>
        <w:rPr>
          <w:color w:val="6E6158"/>
          <w:spacing w:val="18"/>
        </w:rPr>
        <w:t> </w:t>
      </w:r>
      <w:r>
        <w:rPr>
          <w:color w:val="6E6158"/>
        </w:rPr>
        <w:t>property.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</w:p>
    <w:p>
      <w:pPr>
        <w:pStyle w:val="BodyText"/>
        <w:spacing w:line="302" w:lineRule="auto" w:before="2"/>
        <w:ind w:left="104" w:right="351"/>
      </w:pPr>
      <w:r>
        <w:rPr>
          <w:color w:val="6E6158"/>
        </w:rPr>
        <w:t>has also developed a broad legal opinion letter practice, and his passion for this work has made</w:t>
      </w:r>
      <w:r>
        <w:rPr>
          <w:color w:val="6E6158"/>
          <w:spacing w:val="40"/>
        </w:rPr>
        <w:t> </w:t>
      </w:r>
      <w:r>
        <w:rPr>
          <w:color w:val="6E6158"/>
        </w:rPr>
        <w:t>him a sought-after attorney in this area.</w:t>
      </w:r>
    </w:p>
    <w:p>
      <w:pPr>
        <w:pStyle w:val="BodyText"/>
        <w:spacing w:line="295" w:lineRule="auto" w:before="186"/>
        <w:ind w:left="104" w:right="46"/>
      </w:pPr>
      <w:r>
        <w:rPr>
          <w:color w:val="6E6158"/>
        </w:rPr>
        <w:t>With an enthusiasm for client service, Chris is adept helping his clients to identify their goals and</w:t>
      </w:r>
      <w:r>
        <w:rPr>
          <w:color w:val="6E6158"/>
          <w:spacing w:val="40"/>
        </w:rPr>
        <w:t> </w:t>
      </w:r>
      <w:r>
        <w:rPr>
          <w:color w:val="6E6158"/>
        </w:rPr>
        <w:t>make important legal decisions, often acting like an in-house counsel. Chris knows how to get</w:t>
      </w:r>
      <w:r>
        <w:rPr>
          <w:color w:val="6E6158"/>
          <w:spacing w:val="40"/>
        </w:rPr>
        <w:t> </w:t>
      </w:r>
      <w:r>
        <w:rPr>
          <w:color w:val="6E6158"/>
        </w:rPr>
        <w:t>answers</w:t>
      </w:r>
      <w:r>
        <w:rPr>
          <w:color w:val="6E6158"/>
          <w:spacing w:val="14"/>
        </w:rPr>
        <w:t> </w:t>
      </w:r>
      <w:r>
        <w:rPr>
          <w:color w:val="6E6158"/>
        </w:rPr>
        <w:t>—</w:t>
      </w:r>
      <w:r>
        <w:rPr>
          <w:color w:val="6E6158"/>
          <w:spacing w:val="14"/>
        </w:rPr>
        <w:t> </w:t>
      </w:r>
      <w:r>
        <w:rPr>
          <w:color w:val="6E6158"/>
        </w:rPr>
        <w:t>even</w:t>
      </w:r>
      <w:r>
        <w:rPr>
          <w:color w:val="6E6158"/>
          <w:spacing w:val="14"/>
        </w:rPr>
        <w:t> </w:t>
      </w:r>
      <w:r>
        <w:rPr>
          <w:color w:val="6E6158"/>
        </w:rPr>
        <w:t>if</w:t>
      </w:r>
      <w:r>
        <w:rPr>
          <w:color w:val="6E6158"/>
          <w:spacing w:val="14"/>
        </w:rPr>
        <w:t> </w:t>
      </w:r>
      <w:r>
        <w:rPr>
          <w:color w:val="6E6158"/>
        </w:rPr>
        <w:t>this</w:t>
      </w:r>
      <w:r>
        <w:rPr>
          <w:color w:val="6E6158"/>
          <w:spacing w:val="14"/>
        </w:rPr>
        <w:t> </w:t>
      </w:r>
      <w:r>
        <w:rPr>
          <w:color w:val="6E6158"/>
        </w:rPr>
        <w:t>means</w:t>
      </w:r>
      <w:r>
        <w:rPr>
          <w:color w:val="6E6158"/>
          <w:spacing w:val="14"/>
        </w:rPr>
        <w:t> </w:t>
      </w:r>
      <w:r>
        <w:rPr>
          <w:color w:val="6E6158"/>
        </w:rPr>
        <w:t>referring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matter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another</w:t>
      </w:r>
      <w:r>
        <w:rPr>
          <w:color w:val="6E6158"/>
          <w:spacing w:val="14"/>
        </w:rPr>
        <w:t> </w:t>
      </w:r>
      <w:r>
        <w:rPr>
          <w:color w:val="6E6158"/>
        </w:rPr>
        <w:t>attorney.</w:t>
      </w:r>
      <w:r>
        <w:rPr>
          <w:color w:val="6E6158"/>
          <w:spacing w:val="14"/>
        </w:rPr>
        <w:t> </w:t>
      </w:r>
      <w:r>
        <w:rPr>
          <w:color w:val="6E6158"/>
        </w:rPr>
        <w:t>Throughout</w:t>
      </w:r>
      <w:r>
        <w:rPr>
          <w:color w:val="6E6158"/>
          <w:spacing w:val="14"/>
        </w:rPr>
        <w:t> </w:t>
      </w:r>
      <w:r>
        <w:rPr>
          <w:color w:val="6E6158"/>
        </w:rPr>
        <w:t>Chris’s</w:t>
      </w:r>
      <w:r>
        <w:rPr>
          <w:color w:val="6E6158"/>
          <w:spacing w:val="14"/>
        </w:rPr>
        <w:t> </w:t>
      </w:r>
      <w:r>
        <w:rPr>
          <w:color w:val="6E6158"/>
        </w:rPr>
        <w:t>career</w:t>
      </w:r>
      <w:r>
        <w:rPr>
          <w:color w:val="6E6158"/>
          <w:spacing w:val="14"/>
        </w:rPr>
        <w:t> </w:t>
      </w:r>
      <w:r>
        <w:rPr>
          <w:color w:val="6E6158"/>
        </w:rPr>
        <w:t>as a business attorney, clients have relied on him to pinpoint the most important legal issues and</w:t>
      </w:r>
      <w:r>
        <w:rPr>
          <w:color w:val="6E6158"/>
          <w:spacing w:val="40"/>
        </w:rPr>
        <w:t> </w:t>
      </w:r>
      <w:r>
        <w:rPr>
          <w:color w:val="6E6158"/>
        </w:rPr>
        <w:t>recommend strategic solutions, giving them peace of mind and a clear blueprint to solve their</w:t>
      </w:r>
      <w:r>
        <w:rPr>
          <w:color w:val="6E6158"/>
          <w:spacing w:val="40"/>
        </w:rPr>
        <w:t> </w:t>
      </w:r>
      <w:r>
        <w:rPr>
          <w:color w:val="6E6158"/>
        </w:rPr>
        <w:t>problems.</w:t>
      </w:r>
      <w:r>
        <w:rPr>
          <w:color w:val="6E6158"/>
          <w:spacing w:val="37"/>
        </w:rPr>
        <w:t> </w:t>
      </w:r>
      <w:r>
        <w:rPr>
          <w:color w:val="6E6158"/>
        </w:rPr>
        <w:t>Typically,</w:t>
      </w:r>
      <w:r>
        <w:rPr>
          <w:color w:val="6E6158"/>
          <w:spacing w:val="37"/>
        </w:rPr>
        <w:t> </w:t>
      </w:r>
      <w:r>
        <w:rPr>
          <w:color w:val="6E6158"/>
        </w:rPr>
        <w:t>this</w:t>
      </w:r>
      <w:r>
        <w:rPr>
          <w:color w:val="6E6158"/>
          <w:spacing w:val="37"/>
        </w:rPr>
        <w:t> </w:t>
      </w:r>
      <w:r>
        <w:rPr>
          <w:color w:val="6E6158"/>
        </w:rPr>
        <w:t>process</w:t>
      </w:r>
      <w:r>
        <w:rPr>
          <w:color w:val="6E6158"/>
          <w:spacing w:val="37"/>
        </w:rPr>
        <w:t> </w:t>
      </w:r>
      <w:r>
        <w:rPr>
          <w:color w:val="6E6158"/>
        </w:rPr>
        <w:t>includes</w:t>
      </w:r>
      <w:r>
        <w:rPr>
          <w:color w:val="6E6158"/>
          <w:spacing w:val="37"/>
        </w:rPr>
        <w:t> </w:t>
      </w:r>
      <w:r>
        <w:rPr>
          <w:color w:val="6E6158"/>
        </w:rPr>
        <w:t>weighing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resolving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various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</w:p>
    <w:p>
      <w:pPr>
        <w:pStyle w:val="BodyText"/>
        <w:spacing w:line="292" w:lineRule="auto" w:before="6"/>
        <w:ind w:left="104" w:right="351"/>
      </w:pPr>
      <w:r>
        <w:rPr>
          <w:color w:val="6E6158"/>
        </w:rPr>
        <w:t>employment, regulatory, gaming, intellectual property, tax and environmental </w:t>
      </w:r>
      <w:r>
        <w:rPr>
          <w:color w:val="6E6158"/>
        </w:rPr>
        <w:t>concerns businesses often face.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51"/>
      </w:pPr>
      <w:r>
        <w:rPr>
          <w:color w:val="6E6158"/>
        </w:rPr>
        <w:t>Originally from Portland, Oregon, Chris graduated from Brown University, where he was a proud</w:t>
      </w:r>
      <w:r>
        <w:rPr>
          <w:color w:val="6E6158"/>
          <w:spacing w:val="40"/>
        </w:rPr>
        <w:t> </w:t>
      </w:r>
      <w:r>
        <w:rPr>
          <w:color w:val="6E6158"/>
        </w:rPr>
        <w:t>member of the 1999 Ivy League Champion Brown Bears football team and was selected to the</w:t>
      </w:r>
      <w:r>
        <w:rPr>
          <w:color w:val="6E6158"/>
          <w:spacing w:val="40"/>
        </w:rPr>
        <w:t> </w:t>
      </w:r>
      <w:r>
        <w:rPr>
          <w:color w:val="6E6158"/>
        </w:rPr>
        <w:t>2002 Academic All-Ivy team. Chris returned to Oregon and earned his Juris Doctor degree from</w:t>
      </w:r>
      <w:r>
        <w:rPr>
          <w:color w:val="6E6158"/>
          <w:spacing w:val="40"/>
        </w:rPr>
        <w:t> </w:t>
      </w:r>
      <w:r>
        <w:rPr>
          <w:color w:val="6E6158"/>
        </w:rPr>
        <w:t>the University of Oregon School of Law. As an entrepreneurial business attorney, Chris chose to</w:t>
      </w:r>
      <w:r>
        <w:rPr>
          <w:color w:val="6E6158"/>
          <w:spacing w:val="40"/>
        </w:rPr>
        <w:t> </w:t>
      </w:r>
      <w:r>
        <w:rPr>
          <w:color w:val="6E6158"/>
        </w:rPr>
        <w:t>practice in Las Vegas for its tremendous diversity and potential. Outside the office, Chris enjoys</w:t>
      </w:r>
      <w:r>
        <w:rPr>
          <w:color w:val="6E6158"/>
          <w:spacing w:val="40"/>
        </w:rPr>
        <w:t> </w:t>
      </w:r>
      <w:r>
        <w:rPr>
          <w:color w:val="6E6158"/>
        </w:rPr>
        <w:t>spending time with his wife and two young boys.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5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26pt;width:1.65pt;height:1.65pt;mso-position-horizontal-relative:page;mso-position-vertical-relative:paragraph;z-index:15729152" id="docshape12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410720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176pt;width:1.65pt;height:1.65pt;mso-position-horizontal-relative:page;mso-position-vertical-relative:paragraph;z-index:15729664" id="docshape13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Oregon School of </w:t>
      </w:r>
      <w:r>
        <w:rPr>
          <w:color w:val="6E6158"/>
        </w:rPr>
        <w:t>Law</w:t>
      </w:r>
      <w:r>
        <w:rPr>
          <w:color w:val="6E6158"/>
        </w:rPr>
        <w:t> A.B., Brown University</w:t>
      </w:r>
    </w:p>
    <w:p>
      <w:pPr>
        <w:spacing w:line="234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58635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6956pt;width:1.65pt;height:1.65pt;mso-position-horizontal-relative:page;mso-position-vertical-relative:paragraph;z-index:15730176" id="docshape14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Executive/Staff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Oregon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2004-</w:t>
      </w:r>
      <w:r>
        <w:rPr>
          <w:color w:val="6E6158"/>
          <w:spacing w:val="-4"/>
          <w:sz w:val="19"/>
        </w:rPr>
        <w:t>2006</w:t>
      </w:r>
    </w:p>
    <w:p>
      <w:pPr>
        <w:pStyle w:val="BodyText"/>
        <w:spacing w:line="427" w:lineRule="auto" w:before="172"/>
        <w:ind w:left="356" w:right="2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168685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361pt;width:1.65pt;height:1.65pt;mso-position-horizontal-relative:page;mso-position-vertical-relative:paragraph;z-index:15730688" id="docshape15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432218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2986pt;width:1.65pt;height:1.65pt;mso-position-horizontal-relative:page;mso-position-vertical-relative:paragraph;z-index:15731200" id="docshape16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Varsity Football Team (1999 Ivy League Champions), 1999-</w:t>
      </w:r>
      <w:r>
        <w:rPr>
          <w:color w:val="6E6158"/>
        </w:rPr>
        <w:t>2002 Academic All-Ivy League, 2002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54748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0904pt;width:1.65pt;height:1.65pt;mso-position-horizontal-relative:page;mso-position-vertical-relative:paragraph;z-index:15731712" id="docshape17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All-Ivy</w:t>
      </w:r>
      <w:r>
        <w:rPr>
          <w:color w:val="6E6158"/>
          <w:spacing w:val="14"/>
        </w:rPr>
        <w:t> </w:t>
      </w:r>
      <w:r>
        <w:rPr>
          <w:color w:val="6E6158"/>
        </w:rPr>
        <w:t>League</w:t>
      </w:r>
      <w:r>
        <w:rPr>
          <w:color w:val="6E6158"/>
          <w:spacing w:val="15"/>
        </w:rPr>
        <w:t> </w:t>
      </w:r>
      <w:r>
        <w:rPr>
          <w:color w:val="6E6158"/>
        </w:rPr>
        <w:t>Tight</w:t>
      </w:r>
      <w:r>
        <w:rPr>
          <w:color w:val="6E6158"/>
          <w:spacing w:val="15"/>
        </w:rPr>
        <w:t> </w:t>
      </w:r>
      <w:r>
        <w:rPr>
          <w:color w:val="6E6158"/>
        </w:rPr>
        <w:t>End,</w:t>
      </w:r>
      <w:r>
        <w:rPr>
          <w:color w:val="6E6158"/>
          <w:spacing w:val="15"/>
        </w:rPr>
        <w:t> </w:t>
      </w:r>
      <w:r>
        <w:rPr>
          <w:color w:val="6E6158"/>
        </w:rPr>
        <w:t>Honorable</w:t>
      </w:r>
      <w:r>
        <w:rPr>
          <w:color w:val="6E6158"/>
          <w:spacing w:val="15"/>
        </w:rPr>
        <w:t> </w:t>
      </w:r>
      <w:r>
        <w:rPr>
          <w:color w:val="6E6158"/>
        </w:rPr>
        <w:t>Mention,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2002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5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59796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8357pt;width:1.65pt;height:1.65pt;mso-position-horizontal-relative:page;mso-position-vertical-relative:paragraph;z-index:15732224" id="docshape1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318161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2107pt;width:1.65pt;height:1.65pt;mso-position-horizontal-relative:page;mso-position-vertical-relative:paragraph;z-index:15732736" id="docshape19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Business &amp; Finance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58786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888pt;width:1.65pt;height:1.65pt;mso-position-horizontal-relative:page;mso-position-vertical-relative:paragraph;z-index:15733248" id="docshape20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420" w:lineRule="auto" w:before="182"/>
        <w:ind w:left="356" w:right="5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175403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275pt;width:1.65pt;height:1.65pt;mso-position-horizontal-relative:page;mso-position-vertical-relative:paragraph;z-index:15733760" id="docshape2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433768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5025pt;width:1.65pt;height:1.65pt;mso-position-horizontal-relative:page;mso-position-vertical-relative:paragraph;z-index:15734272" id="docshape22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7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152751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663pt;width:1.65pt;height:1.65pt;mso-position-horizontal-relative:page;mso-position-vertical-relative:paragraph;z-index:15734784" id="docshape23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Led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negotiations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consignment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sale</w:t>
      </w:r>
      <w:r>
        <w:rPr>
          <w:color w:val="6E6158"/>
          <w:spacing w:val="29"/>
        </w:rPr>
        <w:t> </w:t>
      </w:r>
      <w:r>
        <w:rPr>
          <w:color w:val="6E6158"/>
        </w:rPr>
        <w:t>(via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auction)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prestigious LeBron James Triple Logoman Basketball Card, the most expensive sports trading card ever to</w:t>
      </w:r>
      <w:r>
        <w:rPr>
          <w:color w:val="6E6158"/>
          <w:spacing w:val="40"/>
        </w:rPr>
        <w:t> </w:t>
      </w:r>
      <w:r>
        <w:rPr>
          <w:color w:val="6E6158"/>
        </w:rPr>
        <w:t>be pulled from its packaging and sold in the same year.</w:t>
      </w:r>
    </w:p>
    <w:p>
      <w:pPr>
        <w:pStyle w:val="BodyText"/>
        <w:spacing w:before="11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134366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0073pt;width:1.65pt;height:1.65pt;mso-position-horizontal-relative:page;mso-position-vertical-relative:paragraph;z-index:15735296" id="docshape24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Guided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financial</w:t>
      </w:r>
      <w:r>
        <w:rPr>
          <w:color w:val="6E6158"/>
          <w:spacing w:val="12"/>
        </w:rPr>
        <w:t> </w:t>
      </w:r>
      <w:r>
        <w:rPr>
          <w:color w:val="6E6158"/>
        </w:rPr>
        <w:t>institution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entering</w:t>
      </w:r>
      <w:r>
        <w:rPr>
          <w:color w:val="6E6158"/>
          <w:spacing w:val="12"/>
        </w:rPr>
        <w:t> </w:t>
      </w:r>
      <w:r>
        <w:rPr>
          <w:color w:val="6E6158"/>
        </w:rPr>
        <w:t>into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long-term</w:t>
      </w:r>
      <w:r>
        <w:rPr>
          <w:color w:val="6E6158"/>
          <w:spacing w:val="12"/>
        </w:rPr>
        <w:t> </w:t>
      </w:r>
      <w:r>
        <w:rPr>
          <w:color w:val="6E6158"/>
        </w:rPr>
        <w:t>naming</w:t>
      </w:r>
      <w:r>
        <w:rPr>
          <w:color w:val="6E6158"/>
          <w:spacing w:val="12"/>
        </w:rPr>
        <w:t> </w:t>
      </w:r>
      <w:r>
        <w:rPr>
          <w:color w:val="6E6158"/>
        </w:rPr>
        <w:t>rights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sponsorship</w:t>
      </w:r>
    </w:p>
    <w:p>
      <w:pPr>
        <w:pStyle w:val="BodyText"/>
        <w:spacing w:line="302" w:lineRule="auto" w:before="52"/>
        <w:ind w:left="356" w:right="182"/>
      </w:pPr>
      <w:r>
        <w:rPr>
          <w:color w:val="6E6158"/>
        </w:rPr>
        <w:t>agreement for a metropolitan, multi-purpose arena that is home to NCAA Division I men’s and</w:t>
      </w:r>
      <w:r>
        <w:rPr>
          <w:color w:val="6E6158"/>
          <w:spacing w:val="40"/>
        </w:rPr>
        <w:t> </w:t>
      </w:r>
      <w:r>
        <w:rPr>
          <w:color w:val="6E6158"/>
        </w:rPr>
        <w:t>women’s basketball teams</w:t>
      </w:r>
    </w:p>
    <w:p>
      <w:pPr>
        <w:pStyle w:val="BodyText"/>
        <w:spacing w:line="292" w:lineRule="auto" w:before="112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130962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025pt;width:1.65pt;height:1.65pt;mso-position-horizontal-relative:page;mso-position-vertical-relative:paragraph;z-index:15735808" id="docshape2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casino-resort owner with all aspects of the lease and subsequent multimillion-</w:t>
      </w:r>
      <w:r>
        <w:rPr>
          <w:color w:val="6E6158"/>
        </w:rPr>
        <w:t>dollar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underlying</w:t>
      </w:r>
      <w:r>
        <w:rPr>
          <w:color w:val="6E6158"/>
          <w:spacing w:val="26"/>
        </w:rPr>
        <w:t> </w:t>
      </w:r>
      <w:r>
        <w:rPr>
          <w:color w:val="6E6158"/>
        </w:rPr>
        <w:t>real</w:t>
      </w:r>
      <w:r>
        <w:rPr>
          <w:color w:val="6E6158"/>
          <w:spacing w:val="26"/>
        </w:rPr>
        <w:t> </w:t>
      </w:r>
      <w:r>
        <w:rPr>
          <w:color w:val="6E6158"/>
        </w:rPr>
        <w:t>property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United</w:t>
      </w:r>
      <w:r>
        <w:rPr>
          <w:color w:val="6E6158"/>
          <w:spacing w:val="26"/>
        </w:rPr>
        <w:t> </w:t>
      </w:r>
      <w:r>
        <w:rPr>
          <w:color w:val="6E6158"/>
        </w:rPr>
        <w:t>States</w:t>
      </w:r>
      <w:r>
        <w:rPr>
          <w:color w:val="6E6158"/>
          <w:spacing w:val="26"/>
        </w:rPr>
        <w:t> </w:t>
      </w:r>
      <w:r>
        <w:rPr>
          <w:color w:val="6E6158"/>
        </w:rPr>
        <w:t>Air</w:t>
      </w:r>
      <w:r>
        <w:rPr>
          <w:color w:val="6E6158"/>
          <w:spacing w:val="26"/>
        </w:rPr>
        <w:t> </w:t>
      </w:r>
      <w:r>
        <w:rPr>
          <w:color w:val="6E6158"/>
        </w:rPr>
        <w:t>Force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national</w:t>
      </w:r>
      <w:r>
        <w:rPr>
          <w:color w:val="6E6158"/>
          <w:spacing w:val="26"/>
        </w:rPr>
        <w:t> </w:t>
      </w:r>
      <w:r>
        <w:rPr>
          <w:color w:val="6E6158"/>
        </w:rPr>
        <w:t>security</w:t>
      </w:r>
    </w:p>
    <w:p>
      <w:pPr>
        <w:pStyle w:val="BodyText"/>
        <w:spacing w:before="2"/>
        <w:ind w:left="356"/>
      </w:pPr>
      <w:r>
        <w:rPr>
          <w:color w:val="6E6158"/>
          <w:spacing w:val="-2"/>
        </w:rPr>
        <w:t>purposes.</w:t>
      </w:r>
    </w:p>
    <w:p>
      <w:pPr>
        <w:pStyle w:val="BodyText"/>
        <w:spacing w:line="292" w:lineRule="auto" w:before="182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174952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792pt;width:1.65pt;height:1.65pt;mso-position-horizontal-relative:page;mso-position-vertical-relative:paragraph;z-index:15736320" id="docshape2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a real estate development company on the acquisition and development of real</w:t>
      </w:r>
      <w:r>
        <w:rPr>
          <w:color w:val="6E6158"/>
          <w:spacing w:val="40"/>
        </w:rPr>
        <w:t> </w:t>
      </w:r>
      <w:r>
        <w:rPr>
          <w:color w:val="6E6158"/>
        </w:rPr>
        <w:t>estate projects located throughout the country and financed by a complex arrangement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public and private funds.</w:t>
      </w:r>
    </w:p>
    <w:p>
      <w:pPr>
        <w:pStyle w:val="BodyText"/>
        <w:spacing w:line="292" w:lineRule="auto" w:before="132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143218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065pt;width:1.65pt;height:1.65pt;mso-position-horizontal-relative:page;mso-position-vertical-relative:paragraph;z-index:15736832" id="docshape2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Counseled a residential apartment developer in obtaining and refinancing numerous </w:t>
      </w:r>
      <w:r>
        <w:rPr>
          <w:color w:val="6E6158"/>
        </w:rPr>
        <w:t>loans</w:t>
      </w:r>
      <w:r>
        <w:rPr>
          <w:color w:val="6E6158"/>
          <w:spacing w:val="40"/>
        </w:rPr>
        <w:t> </w:t>
      </w:r>
      <w:r>
        <w:rPr>
          <w:color w:val="6E6158"/>
        </w:rPr>
        <w:t>from institutional lenders (including Freddie Mac loans), which efforts included negotiating</w:t>
      </w:r>
      <w:r>
        <w:rPr>
          <w:color w:val="6E6158"/>
          <w:spacing w:val="40"/>
        </w:rPr>
        <w:t> </w:t>
      </w:r>
      <w:r>
        <w:rPr>
          <w:color w:val="6E6158"/>
        </w:rPr>
        <w:t>loan</w:t>
      </w:r>
      <w:r>
        <w:rPr>
          <w:color w:val="6E6158"/>
          <w:spacing w:val="39"/>
        </w:rPr>
        <w:t> </w:t>
      </w:r>
      <w:r>
        <w:rPr>
          <w:color w:val="6E6158"/>
        </w:rPr>
        <w:t>document</w:t>
      </w:r>
      <w:r>
        <w:rPr>
          <w:color w:val="6E6158"/>
          <w:spacing w:val="39"/>
        </w:rPr>
        <w:t> </w:t>
      </w:r>
      <w:r>
        <w:rPr>
          <w:color w:val="6E6158"/>
        </w:rPr>
        <w:t>terms,</w:t>
      </w:r>
      <w:r>
        <w:rPr>
          <w:color w:val="6E6158"/>
          <w:spacing w:val="39"/>
        </w:rPr>
        <w:t> </w:t>
      </w:r>
      <w:r>
        <w:rPr>
          <w:color w:val="6E6158"/>
        </w:rPr>
        <w:t>performing</w:t>
      </w:r>
      <w:r>
        <w:rPr>
          <w:color w:val="6E6158"/>
          <w:spacing w:val="39"/>
        </w:rPr>
        <w:t> </w:t>
      </w:r>
      <w:r>
        <w:rPr>
          <w:color w:val="6E6158"/>
        </w:rPr>
        <w:t>due</w:t>
      </w:r>
      <w:r>
        <w:rPr>
          <w:color w:val="6E6158"/>
          <w:spacing w:val="39"/>
        </w:rPr>
        <w:t> </w:t>
      </w:r>
      <w:r>
        <w:rPr>
          <w:color w:val="6E6158"/>
        </w:rPr>
        <w:t>diligence,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delivering</w:t>
      </w:r>
      <w:r>
        <w:rPr>
          <w:color w:val="6E6158"/>
          <w:spacing w:val="39"/>
        </w:rPr>
        <w:t> </w:t>
      </w:r>
      <w:r>
        <w:rPr>
          <w:color w:val="6E6158"/>
        </w:rPr>
        <w:t>legal</w:t>
      </w:r>
      <w:r>
        <w:rPr>
          <w:color w:val="6E6158"/>
          <w:spacing w:val="39"/>
        </w:rPr>
        <w:t> </w:t>
      </w:r>
      <w:r>
        <w:rPr>
          <w:color w:val="6E6158"/>
        </w:rPr>
        <w:t>opinion</w:t>
      </w:r>
      <w:r>
        <w:rPr>
          <w:color w:val="6E6158"/>
          <w:spacing w:val="39"/>
        </w:rPr>
        <w:t> </w:t>
      </w:r>
      <w:r>
        <w:rPr>
          <w:color w:val="6E6158"/>
        </w:rPr>
        <w:t>letters.</w:t>
      </w:r>
    </w:p>
    <w:p>
      <w:pPr>
        <w:pStyle w:val="BodyText"/>
        <w:spacing w:line="30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138067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463pt;width:1.65pt;height:1.65pt;mso-position-horizontal-relative:page;mso-position-vertical-relative:paragraph;z-index:1573734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with government authorities regarding the placement of a </w:t>
      </w:r>
      <w:r>
        <w:rPr>
          <w:color w:val="6E6158"/>
        </w:rPr>
        <w:t>temporary</w:t>
      </w:r>
      <w:r>
        <w:rPr>
          <w:color w:val="6E6158"/>
          <w:spacing w:val="40"/>
        </w:rPr>
        <w:t> </w:t>
      </w:r>
      <w:r>
        <w:rPr>
          <w:color w:val="6E6158"/>
        </w:rPr>
        <w:t>building</w:t>
      </w:r>
      <w:r>
        <w:rPr>
          <w:color w:val="6E6158"/>
          <w:spacing w:val="26"/>
        </w:rPr>
        <w:t> </w:t>
      </w:r>
      <w:r>
        <w:rPr>
          <w:color w:val="6E6158"/>
        </w:rPr>
        <w:t>wrap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partially</w:t>
      </w:r>
      <w:r>
        <w:rPr>
          <w:color w:val="6E6158"/>
          <w:spacing w:val="26"/>
        </w:rPr>
        <w:t> </w:t>
      </w:r>
      <w:r>
        <w:rPr>
          <w:color w:val="6E6158"/>
        </w:rPr>
        <w:t>constructed</w:t>
      </w:r>
      <w:r>
        <w:rPr>
          <w:color w:val="6E6158"/>
          <w:spacing w:val="26"/>
        </w:rPr>
        <w:t> </w:t>
      </w:r>
      <w:r>
        <w:rPr>
          <w:color w:val="6E6158"/>
        </w:rPr>
        <w:t>hotel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casino</w:t>
      </w:r>
      <w:r>
        <w:rPr>
          <w:color w:val="6E6158"/>
          <w:spacing w:val="26"/>
        </w:rPr>
        <w:t> </w:t>
      </w:r>
      <w:r>
        <w:rPr>
          <w:color w:val="6E6158"/>
        </w:rPr>
        <w:t>project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order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improve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line="224" w:lineRule="exact"/>
        <w:ind w:left="356"/>
      </w:pPr>
      <w:r>
        <w:rPr>
          <w:color w:val="6E6158"/>
        </w:rPr>
        <w:t>aesthetic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pedestrians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0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strip.</w:t>
      </w:r>
    </w:p>
    <w:p>
      <w:pPr>
        <w:pStyle w:val="BodyText"/>
        <w:spacing w:after="0" w:line="224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856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Restructured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Las</w:t>
      </w:r>
      <w:r>
        <w:rPr>
          <w:color w:val="6E6158"/>
          <w:spacing w:val="13"/>
        </w:rPr>
        <w:t> </w:t>
      </w:r>
      <w:r>
        <w:rPr>
          <w:color w:val="6E6158"/>
        </w:rPr>
        <w:t>Vegas</w:t>
      </w:r>
      <w:r>
        <w:rPr>
          <w:color w:val="6E6158"/>
          <w:spacing w:val="13"/>
        </w:rPr>
        <w:t> </w:t>
      </w:r>
      <w:r>
        <w:rPr>
          <w:color w:val="6E6158"/>
        </w:rPr>
        <w:t>casino</w:t>
      </w:r>
      <w:r>
        <w:rPr>
          <w:color w:val="6E6158"/>
          <w:spacing w:val="13"/>
        </w:rPr>
        <w:t> </w:t>
      </w:r>
      <w:r>
        <w:rPr>
          <w:color w:val="6E6158"/>
        </w:rPr>
        <w:t>owner’s</w:t>
      </w:r>
      <w:r>
        <w:rPr>
          <w:color w:val="6E6158"/>
          <w:spacing w:val="12"/>
        </w:rPr>
        <w:t> </w:t>
      </w:r>
      <w:r>
        <w:rPr>
          <w:color w:val="6E6158"/>
        </w:rPr>
        <w:t>corporate</w:t>
      </w:r>
      <w:r>
        <w:rPr>
          <w:color w:val="6E6158"/>
          <w:spacing w:val="13"/>
        </w:rPr>
        <w:t> </w:t>
      </w:r>
      <w:r>
        <w:rPr>
          <w:color w:val="6E6158"/>
        </w:rPr>
        <w:t>subsidiaries</w:t>
      </w:r>
      <w:r>
        <w:rPr>
          <w:color w:val="6E6158"/>
          <w:spacing w:val="13"/>
        </w:rPr>
        <w:t> </w:t>
      </w:r>
      <w:r>
        <w:rPr>
          <w:color w:val="6E6158"/>
        </w:rPr>
        <w:t>through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several</w:t>
      </w:r>
    </w:p>
    <w:p>
      <w:pPr>
        <w:pStyle w:val="BodyText"/>
        <w:spacing w:line="302" w:lineRule="auto" w:before="52"/>
        <w:ind w:left="356"/>
      </w:pPr>
      <w:r>
        <w:rPr>
          <w:color w:val="6E6158"/>
        </w:rPr>
        <w:t>mergers, conversions, and dissolutions in order to simplify the client’s ownership structure while</w:t>
      </w:r>
      <w:r>
        <w:rPr>
          <w:color w:val="6E6158"/>
          <w:spacing w:val="40"/>
        </w:rPr>
        <w:t> </w:t>
      </w:r>
      <w:r>
        <w:rPr>
          <w:color w:val="6E6158"/>
        </w:rPr>
        <w:t>achieving the client’s desired tax benefits.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152752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74pt;width:1.65pt;height:1.65pt;mso-position-horizontal-relative:page;mso-position-vertical-relative:paragraph;z-index:15738368" id="docshape30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 Lawyer of the Year, Commercial Finance 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 &amp;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168411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078pt;width:1.65pt;height:1.65pt;mso-position-horizontal-relative:page;mso-position-vertical-relative:paragraph;z-index:15738880" id="docshape3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Finance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5"/>
        <w:ind w:left="356" w:right="344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168694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3007pt;width:1.65pt;height:1.65pt;mso-position-horizontal-relative:page;mso-position-vertical-relative:paragraph;z-index:15739392" id="docshape32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452896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1129pt;width:1.65pt;height:1.65pt;mso-position-horizontal-relative:page;mso-position-vertical-relative:paragraph;z-index:15739904" id="docshape33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2018-2019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61281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529pt;width:1.65pt;height:1.65pt;mso-position-horizontal-relative:page;mso-position-vertical-relative:paragraph;z-index:15740416" id="docshape34" coordorigin="1675,97" coordsize="33,33" path="m1696,129l1687,129,1683,127,1676,121,1675,117,1675,108,1676,104,1683,98,1687,97,1696,97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 Up and Coming Attorneys,”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2013, </w:t>
      </w:r>
      <w:r>
        <w:rPr>
          <w:color w:val="6E6158"/>
          <w:spacing w:val="-4"/>
          <w:sz w:val="19"/>
        </w:rPr>
        <w:t>2015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168341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245pt;width:1.65pt;height:1.65pt;mso-position-horizontal-relative:page;mso-position-vertical-relative:paragraph;z-index:15740928" id="docshape3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States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2009,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302" w:lineRule="auto" w:before="172"/>
        <w:ind w:left="356" w:right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168623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7471pt;width:1.65pt;height:1.65pt;mso-position-horizontal-relative:page;mso-position-vertical-relative:paragraph;z-index:15741440" id="docshape36" coordorigin="1675,266" coordsize="33,33" path="m1696,298l1687,298,1683,297,1676,290,1675,286,1675,277,1676,273,1683,267,1687,266,1696,266,1699,267,1706,273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Football Foundation and College Hall of Fame Scholar Athlete of the Year Scholarship (Portland, Oregon Chapter), 1998</w:t>
      </w:r>
    </w:p>
    <w:p>
      <w:pPr>
        <w:pStyle w:val="BodyText"/>
        <w:spacing w:before="10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131019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6503pt;width:1.65pt;height:1.65pt;mso-position-horizontal-relative:page;mso-position-vertical-relative:paragraph;z-index:15741952" id="docshape3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19"/>
          <w:position w:val="7"/>
          <w:sz w:val="16"/>
        </w:rPr>
        <w:t> </w:t>
      </w:r>
      <w:r>
        <w:rPr>
          <w:color w:val="6E6158"/>
        </w:rPr>
        <w:t>Preeminent</w:t>
      </w:r>
      <w:r>
        <w:rPr>
          <w:color w:val="6E6158"/>
          <w:spacing w:val="12"/>
        </w:rPr>
        <w:t> </w:t>
      </w:r>
      <w:r>
        <w:rPr>
          <w:color w:val="6E6158"/>
        </w:rPr>
        <w:t>™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1"/>
        </w:rPr>
        <w:t> </w:t>
      </w:r>
      <w:r>
        <w:rPr>
          <w:color w:val="6E6158"/>
        </w:rPr>
        <w:t>rating</w:t>
      </w:r>
      <w:r>
        <w:rPr>
          <w:color w:val="6E6158"/>
          <w:spacing w:val="12"/>
        </w:rPr>
        <w:t> </w:t>
      </w:r>
      <w:r>
        <w:rPr>
          <w:color w:val="6E6158"/>
        </w:rPr>
        <w:t>available),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152803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803pt;width:1.65pt;height:1.65pt;mso-position-horizontal-relative:page;mso-position-vertical-relative:paragraph;z-index:15742464" id="docshape3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131074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0835pt;width:1.65pt;height:1.65pt;mso-position-horizontal-relative:page;mso-position-vertical-relative:paragraph;z-index:15742976" id="docshape3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“5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Traps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Avoid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When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Selling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CRE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Las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Vegas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Area,”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December</w:t>
        </w:r>
        <w:r>
          <w:rPr>
            <w:color w:val="F5821F"/>
            <w:spacing w:val="6"/>
          </w:rPr>
          <w:t> </w:t>
        </w:r>
        <w:r>
          <w:rPr>
            <w:color w:val="F5821F"/>
          </w:rPr>
          <w:t>14,</w:t>
        </w:r>
        <w:r>
          <w:rPr>
            <w:color w:val="F5821F"/>
            <w:spacing w:val="6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line="292" w:lineRule="auto" w:before="174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169759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879pt;width:1.65pt;height:1.65pt;mso-position-horizontal-relative:page;mso-position-vertical-relative:paragraph;z-index:15743488" id="docshape4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Author, “Traps for Sellers of Commercial Real Estate in Clark County,” Fennemore Blog, August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24, 2023</w:t>
        </w:r>
      </w:hyperlink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142719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728pt;width:1.65pt;height:1.65pt;mso-position-horizontal-relative:page;mso-position-vertical-relative:paragraph;z-index:15744000" id="docshape4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in 2022,” The Nevada Independent, April 11, 2022</w:t>
      </w:r>
    </w:p>
    <w:p>
      <w:pPr>
        <w:pStyle w:val="BodyText"/>
        <w:spacing w:line="427" w:lineRule="auto" w:before="123"/>
        <w:ind w:left="356" w:right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137816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701pt;width:1.65pt;height:1.65pt;mso-position-horizontal-relative:page;mso-position-vertical-relative:paragraph;z-index:15744512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401349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325pt;width:1.65pt;height:1.65pt;mso-position-horizontal-relative:page;mso-position-vertical-relative:paragraph;z-index:15745024" id="docshape43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“Bishop and Zucker on Nevada Corporations and Limited Liability </w:t>
      </w:r>
      <w:r>
        <w:rPr>
          <w:color w:val="6E6158"/>
        </w:rPr>
        <w:t>Companies” Co-Author, “Doing Business in Nevada: A Practical Guide”</w:t>
      </w:r>
    </w:p>
    <w:p>
      <w:pPr>
        <w:pStyle w:val="BodyText"/>
        <w:spacing w:line="292" w:lineRule="auto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54994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0245pt;width:1.65pt;height:1.65pt;mso-position-horizontal-relative:page;mso-position-vertical-relative:paragraph;z-index:15745536" id="docshape44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“State-by-State Guide to Commercial Real Estate Leases,” 2019-</w:t>
      </w:r>
      <w:r>
        <w:rPr>
          <w:color w:val="6E6158"/>
        </w:rPr>
        <w:t>2022 Editions, Nevada Chapter</w:t>
      </w:r>
    </w:p>
    <w:p>
      <w:pPr>
        <w:pStyle w:val="Heading1"/>
        <w:spacing w:before="27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152908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076pt;width:1.65pt;height:1.65pt;mso-position-horizontal-relative:page;mso-position-vertical-relative:paragraph;z-index:15746048" id="docshape4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175171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995pt;width:1.65pt;height:1.65pt;mso-position-horizontal-relative:page;mso-position-vertical-relative:paragraph;z-index:15746560" id="docshape4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Family</w:t>
      </w:r>
      <w:r>
        <w:rPr>
          <w:color w:val="6E6158"/>
          <w:spacing w:val="9"/>
        </w:rPr>
        <w:t> </w:t>
      </w:r>
      <w:r>
        <w:rPr>
          <w:color w:val="6E6158"/>
        </w:rPr>
        <w:t>Promise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Vegas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170040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039pt;width:1.65pt;height:1.65pt;mso-position-horizontal-relative:page;mso-position-vertical-relative:paragraph;z-index:15747072" id="docshape4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11"/>
        </w:rPr>
        <w:t> </w:t>
      </w:r>
      <w:r>
        <w:rPr>
          <w:color w:val="6E6158"/>
        </w:rPr>
        <w:t>Landlord/Tenant</w:t>
      </w:r>
      <w:r>
        <w:rPr>
          <w:color w:val="6E6158"/>
          <w:spacing w:val="11"/>
        </w:rPr>
        <w:t> </w:t>
      </w:r>
      <w:r>
        <w:rPr>
          <w:color w:val="6E6158"/>
        </w:rPr>
        <w:t>Ask-A-Lawyer</w:t>
      </w:r>
      <w:r>
        <w:rPr>
          <w:color w:val="6E6158"/>
          <w:spacing w:val="11"/>
        </w:rPr>
        <w:t> </w:t>
      </w:r>
      <w:r>
        <w:rPr>
          <w:color w:val="6E6158"/>
        </w:rPr>
        <w:t>Program,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Aid</w:t>
      </w:r>
      <w:r>
        <w:rPr>
          <w:color w:val="6E6158"/>
          <w:spacing w:val="11"/>
        </w:rPr>
        <w:t> </w:t>
      </w:r>
      <w:r>
        <w:rPr>
          <w:color w:val="6E6158"/>
        </w:rPr>
        <w:t>Center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152629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051pt;width:1.65pt;height:1.65pt;mso-position-horizontal-relative:page;mso-position-vertical-relative:paragraph;z-index:15747584" id="docshape4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cwalther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www.fennemorelaw.com/wp-content/uploads/2023/12/5-Traps-To-Avoid-When-Selling-CRE-In-Las-Vegas-Area-Law360.pdf" TargetMode="External"/><Relationship Id="rId13" Type="http://schemas.openxmlformats.org/officeDocument/2006/relationships/hyperlink" Target="https://www.fennemorelaw.com/traps-for-sellers-of-commercial-real-estate-in-clark-county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2025-01-02T06:48:07Z</dcterms:created>
  <dcterms:modified xsi:type="dcterms:W3CDTF">2025-01-02T06:48:07Z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