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169" w:right="1167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DAVID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MCCARVILLE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dmccarville@fennemorelaw.com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169" w:right="1167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DAVID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MCCARVILLE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dmccarville@fennemorelaw.com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DAVID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MCCARVILLE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David A. McCarville is a Director at Fennemore, recognized for his strategic expertise in business</w:t>
      </w:r>
      <w:r>
        <w:rPr>
          <w:color w:val="6E6158"/>
          <w:spacing w:val="40"/>
        </w:rPr>
        <w:t> </w:t>
      </w:r>
      <w:r>
        <w:rPr>
          <w:color w:val="6E6158"/>
        </w:rPr>
        <w:t>and finance law, delivering innovative solutions in transactional matters, corporate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due diligence, and succession planning to help clients achieve their goals. He has extensive</w:t>
      </w:r>
      <w:r>
        <w:rPr>
          <w:color w:val="6E6158"/>
          <w:spacing w:val="40"/>
        </w:rPr>
        <w:t> </w:t>
      </w:r>
      <w:r>
        <w:rPr>
          <w:color w:val="6E6158"/>
        </w:rPr>
        <w:t>experience advising entrepreneurs, partnerships, and family-owned businesses across a wide</w:t>
      </w:r>
      <w:r>
        <w:rPr>
          <w:color w:val="6E6158"/>
          <w:spacing w:val="40"/>
        </w:rPr>
        <w:t> </w:t>
      </w:r>
      <w:r>
        <w:rPr>
          <w:color w:val="6E6158"/>
        </w:rPr>
        <w:t>range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industries,</w:t>
      </w:r>
      <w:r>
        <w:rPr>
          <w:color w:val="6E6158"/>
          <w:spacing w:val="38"/>
        </w:rPr>
        <w:t> </w:t>
      </w:r>
      <w:r>
        <w:rPr>
          <w:color w:val="6E6158"/>
        </w:rPr>
        <w:t>helping</w:t>
      </w:r>
      <w:r>
        <w:rPr>
          <w:color w:val="6E6158"/>
          <w:spacing w:val="38"/>
        </w:rPr>
        <w:t> </w:t>
      </w:r>
      <w:r>
        <w:rPr>
          <w:color w:val="6E6158"/>
        </w:rPr>
        <w:t>clients</w:t>
      </w:r>
      <w:r>
        <w:rPr>
          <w:color w:val="6E6158"/>
          <w:spacing w:val="38"/>
        </w:rPr>
        <w:t> </w:t>
      </w:r>
      <w:r>
        <w:rPr>
          <w:color w:val="6E6158"/>
        </w:rPr>
        <w:t>address</w:t>
      </w:r>
      <w:r>
        <w:rPr>
          <w:color w:val="6E6158"/>
          <w:spacing w:val="38"/>
        </w:rPr>
        <w:t> </w:t>
      </w:r>
      <w:r>
        <w:rPr>
          <w:color w:val="6E6158"/>
        </w:rPr>
        <w:t>complex</w:t>
      </w:r>
      <w:r>
        <w:rPr>
          <w:color w:val="6E6158"/>
          <w:spacing w:val="38"/>
        </w:rPr>
        <w:t> </w:t>
      </w:r>
      <w:r>
        <w:rPr>
          <w:color w:val="6E6158"/>
        </w:rPr>
        <w:t>challenges,</w:t>
      </w:r>
      <w:r>
        <w:rPr>
          <w:color w:val="6E6158"/>
          <w:spacing w:val="38"/>
        </w:rPr>
        <w:t> </w:t>
      </w:r>
      <w:r>
        <w:rPr>
          <w:color w:val="6E6158"/>
        </w:rPr>
        <w:t>optimize</w:t>
      </w:r>
      <w:r>
        <w:rPr>
          <w:color w:val="6E6158"/>
          <w:spacing w:val="38"/>
        </w:rPr>
        <w:t> </w:t>
      </w:r>
      <w:r>
        <w:rPr>
          <w:color w:val="6E6158"/>
        </w:rPr>
        <w:t>operations,</w:t>
      </w:r>
      <w:r>
        <w:rPr>
          <w:color w:val="6E6158"/>
          <w:spacing w:val="38"/>
        </w:rPr>
        <w:t> </w:t>
      </w:r>
      <w:r>
        <w:rPr>
          <w:color w:val="6E6158"/>
        </w:rPr>
        <w:t>and achieve their strategic goals.</w:t>
      </w:r>
    </w:p>
    <w:p>
      <w:pPr>
        <w:pStyle w:val="BodyText"/>
        <w:spacing w:line="292" w:lineRule="auto" w:before="187"/>
        <w:ind w:left="104" w:right="494"/>
      </w:pPr>
      <w:r>
        <w:rPr>
          <w:color w:val="6E6158"/>
        </w:rPr>
        <w:t>As Chair of Fennemore Labs, the firm’s technology committee, David leads groundbreaking</w:t>
      </w:r>
      <w:r>
        <w:rPr>
          <w:color w:val="6E6158"/>
          <w:spacing w:val="40"/>
        </w:rPr>
        <w:t> </w:t>
      </w:r>
      <w:r>
        <w:rPr>
          <w:color w:val="6E6158"/>
        </w:rPr>
        <w:t>initiatives to integrate advanced legal technologies, particularly artificial intelligence, into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law,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measurable</w:t>
      </w:r>
      <w:r>
        <w:rPr>
          <w:color w:val="6E6158"/>
          <w:spacing w:val="34"/>
        </w:rPr>
        <w:t> </w:t>
      </w:r>
      <w:r>
        <w:rPr>
          <w:color w:val="6E6158"/>
        </w:rPr>
        <w:t>benefits</w:t>
      </w:r>
      <w:r>
        <w:rPr>
          <w:color w:val="6E6158"/>
          <w:spacing w:val="34"/>
        </w:rPr>
        <w:t> </w:t>
      </w:r>
      <w:r>
        <w:rPr>
          <w:color w:val="6E6158"/>
        </w:rPr>
        <w:t>such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reducing</w:t>
      </w:r>
      <w:r>
        <w:rPr>
          <w:color w:val="6E6158"/>
          <w:spacing w:val="34"/>
        </w:rPr>
        <w:t> </w:t>
      </w:r>
      <w:r>
        <w:rPr>
          <w:color w:val="6E6158"/>
        </w:rPr>
        <w:t>client</w:t>
      </w:r>
      <w:r>
        <w:rPr>
          <w:color w:val="6E6158"/>
          <w:spacing w:val="34"/>
        </w:rPr>
        <w:t> </w:t>
      </w:r>
      <w:r>
        <w:rPr>
          <w:color w:val="6E6158"/>
        </w:rPr>
        <w:t>costs,</w:t>
      </w:r>
      <w:r>
        <w:rPr>
          <w:color w:val="6E6158"/>
          <w:spacing w:val="34"/>
        </w:rPr>
        <w:t> </w:t>
      </w:r>
      <w:r>
        <w:rPr>
          <w:color w:val="6E6158"/>
        </w:rPr>
        <w:t>expediting</w:t>
      </w:r>
    </w:p>
    <w:p>
      <w:pPr>
        <w:pStyle w:val="BodyText"/>
        <w:spacing w:line="295" w:lineRule="auto" w:before="10"/>
        <w:ind w:left="104" w:right="494"/>
      </w:pPr>
      <w:r>
        <w:rPr>
          <w:color w:val="6E6158"/>
        </w:rPr>
        <w:t>complex</w:t>
      </w:r>
      <w:r>
        <w:rPr>
          <w:color w:val="6E6158"/>
          <w:spacing w:val="33"/>
        </w:rPr>
        <w:t> </w:t>
      </w:r>
      <w:r>
        <w:rPr>
          <w:color w:val="6E6158"/>
        </w:rPr>
        <w:t>transactions,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improving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evolving</w:t>
      </w:r>
      <w:r>
        <w:rPr>
          <w:color w:val="6E6158"/>
          <w:spacing w:val="33"/>
        </w:rPr>
        <w:t> </w:t>
      </w:r>
      <w:r>
        <w:rPr>
          <w:color w:val="6E6158"/>
        </w:rPr>
        <w:t>regulations.</w:t>
      </w:r>
      <w:r>
        <w:rPr>
          <w:color w:val="6E6158"/>
          <w:spacing w:val="33"/>
        </w:rPr>
        <w:t> </w:t>
      </w:r>
      <w:r>
        <w:rPr>
          <w:color w:val="6E6158"/>
        </w:rPr>
        <w:t>He</w:t>
      </w:r>
      <w:r>
        <w:rPr>
          <w:color w:val="6E6158"/>
          <w:spacing w:val="33"/>
        </w:rPr>
        <w:t> </w:t>
      </w:r>
      <w:r>
        <w:rPr>
          <w:color w:val="6E6158"/>
        </w:rPr>
        <w:t>counsels</w:t>
      </w:r>
      <w:r>
        <w:rPr>
          <w:color w:val="6E6158"/>
          <w:spacing w:val="33"/>
        </w:rPr>
        <w:t> </w:t>
      </w:r>
      <w:r>
        <w:rPr>
          <w:color w:val="6E6158"/>
        </w:rPr>
        <w:t>clients on adopting AI and digital asset solutions in a regulatory-compliant manner to enhance</w:t>
      </w:r>
      <w:r>
        <w:rPr>
          <w:color w:val="6E6158"/>
          <w:spacing w:val="40"/>
        </w:rPr>
        <w:t> </w:t>
      </w:r>
      <w:r>
        <w:rPr>
          <w:color w:val="6E6158"/>
        </w:rPr>
        <w:t>operational efficiency, drive innovation, and achieve business growth. His guidance helps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navigate complex legal landscapes while leveraging emerging technologies to remain</w:t>
      </w:r>
      <w:r>
        <w:rPr>
          <w:color w:val="6E6158"/>
          <w:spacing w:val="40"/>
        </w:rPr>
        <w:t> </w:t>
      </w:r>
      <w:r>
        <w:rPr>
          <w:color w:val="6E6158"/>
        </w:rPr>
        <w:t>competitive in their respective industries.</w:t>
      </w:r>
    </w:p>
    <w:p>
      <w:pPr>
        <w:pStyle w:val="BodyText"/>
        <w:spacing w:line="295" w:lineRule="auto" w:before="195"/>
        <w:ind w:left="104" w:right="571"/>
      </w:pPr>
      <w:r>
        <w:rPr>
          <w:color w:val="6E6158"/>
        </w:rPr>
        <w:t>David’s</w:t>
      </w:r>
      <w:r>
        <w:rPr>
          <w:color w:val="6E6158"/>
          <w:spacing w:val="35"/>
        </w:rPr>
        <w:t> </w:t>
      </w:r>
      <w:r>
        <w:rPr>
          <w:color w:val="6E6158"/>
        </w:rPr>
        <w:t>expertise</w:t>
      </w:r>
      <w:r>
        <w:rPr>
          <w:color w:val="6E6158"/>
          <w:spacing w:val="35"/>
        </w:rPr>
        <w:t> </w:t>
      </w:r>
      <w:r>
        <w:rPr>
          <w:color w:val="6E6158"/>
        </w:rPr>
        <w:t>extends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blockchain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cryptocurrency,</w:t>
      </w:r>
      <w:r>
        <w:rPr>
          <w:color w:val="6E6158"/>
          <w:spacing w:val="35"/>
        </w:rPr>
        <w:t> </w:t>
      </w:r>
      <w:r>
        <w:rPr>
          <w:color w:val="6E6158"/>
        </w:rPr>
        <w:t>where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helps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navigate the</w:t>
      </w:r>
      <w:r>
        <w:rPr>
          <w:color w:val="6E6158"/>
          <w:spacing w:val="34"/>
        </w:rPr>
        <w:t> </w:t>
      </w:r>
      <w:r>
        <w:rPr>
          <w:color w:val="6E6158"/>
        </w:rPr>
        <w:t>complexities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digital</w:t>
      </w:r>
      <w:r>
        <w:rPr>
          <w:color w:val="6E6158"/>
          <w:spacing w:val="34"/>
        </w:rPr>
        <w:t> </w:t>
      </w:r>
      <w:r>
        <w:rPr>
          <w:color w:val="6E6158"/>
        </w:rPr>
        <w:t>assets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smart</w:t>
      </w:r>
      <w:r>
        <w:rPr>
          <w:color w:val="6E6158"/>
          <w:spacing w:val="34"/>
        </w:rPr>
        <w:t> </w:t>
      </w:r>
      <w:r>
        <w:rPr>
          <w:color w:val="6E6158"/>
        </w:rPr>
        <w:t>contracts,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innovative</w:t>
      </w:r>
      <w:r>
        <w:rPr>
          <w:color w:val="6E6158"/>
          <w:spacing w:val="34"/>
        </w:rPr>
        <w:t> </w:t>
      </w:r>
      <w:r>
        <w:rPr>
          <w:color w:val="6E6158"/>
        </w:rPr>
        <w:t>solutions</w:t>
      </w:r>
      <w:r>
        <w:rPr>
          <w:color w:val="6E6158"/>
          <w:spacing w:val="34"/>
        </w:rPr>
        <w:t> </w:t>
      </w:r>
      <w:r>
        <w:rPr>
          <w:color w:val="6E6158"/>
        </w:rPr>
        <w:t>that improve efficiency and transparency. He is a recognized thought leader in the intersection of</w:t>
      </w:r>
      <w:r>
        <w:rPr>
          <w:color w:val="6E6158"/>
          <w:spacing w:val="40"/>
        </w:rPr>
        <w:t> </w:t>
      </w:r>
      <w:r>
        <w:rPr>
          <w:color w:val="6E6158"/>
        </w:rPr>
        <w:t>technology and law, frequently presenting on topics such as AI, blockchain, and smart contracts</w:t>
      </w:r>
      <w:r>
        <w:rPr>
          <w:color w:val="6E6158"/>
          <w:spacing w:val="80"/>
        </w:rPr>
        <w:t> </w:t>
      </w:r>
      <w:r>
        <w:rPr>
          <w:color w:val="6E6158"/>
        </w:rPr>
        <w:t>at industry conferences and academic institutions.</w:t>
      </w:r>
    </w:p>
    <w:p>
      <w:pPr>
        <w:pStyle w:val="BodyText"/>
        <w:spacing w:line="302" w:lineRule="auto" w:before="195"/>
        <w:ind w:left="104"/>
      </w:pPr>
      <w:r>
        <w:rPr>
          <w:color w:val="6E6158"/>
        </w:rPr>
        <w:t>David is licensed to practice law in Arizona and Massachusetts and has been recognized in The</w:t>
      </w:r>
      <w:r>
        <w:rPr>
          <w:color w:val="6E6158"/>
          <w:spacing w:val="40"/>
        </w:rPr>
        <w:t> </w:t>
      </w:r>
      <w:r>
        <w:rPr>
          <w:color w:val="6E6158"/>
        </w:rPr>
        <w:t>Best</w:t>
      </w:r>
      <w:r>
        <w:rPr>
          <w:color w:val="6E6158"/>
          <w:spacing w:val="30"/>
        </w:rPr>
        <w:t> </w:t>
      </w:r>
      <w:r>
        <w:rPr>
          <w:color w:val="6E6158"/>
        </w:rPr>
        <w:t>Lawyers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America®,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testament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exceptional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acumen,</w:t>
      </w:r>
      <w:r>
        <w:rPr>
          <w:color w:val="6E6158"/>
          <w:spacing w:val="30"/>
        </w:rPr>
        <w:t> </w:t>
      </w:r>
      <w:r>
        <w:rPr>
          <w:color w:val="6E6158"/>
        </w:rPr>
        <w:t>dedication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client</w:t>
      </w:r>
    </w:p>
    <w:p>
      <w:pPr>
        <w:pStyle w:val="BodyText"/>
        <w:spacing w:line="224" w:lineRule="exact" w:before="0"/>
        <w:ind w:left="104" w:right="0"/>
      </w:pPr>
      <w:r>
        <w:rPr>
          <w:color w:val="6E6158"/>
        </w:rPr>
        <w:t>success,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innovative</w:t>
      </w:r>
      <w:r>
        <w:rPr>
          <w:color w:val="6E6158"/>
          <w:spacing w:val="13"/>
        </w:rPr>
        <w:t> </w:t>
      </w:r>
      <w:r>
        <w:rPr>
          <w:color w:val="6E6158"/>
        </w:rPr>
        <w:t>approach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solving</w:t>
      </w:r>
      <w:r>
        <w:rPr>
          <w:color w:val="6E6158"/>
          <w:spacing w:val="13"/>
        </w:rPr>
        <w:t> </w:t>
      </w:r>
      <w:r>
        <w:rPr>
          <w:color w:val="6E6158"/>
        </w:rPr>
        <w:t>complex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challenges.</w:t>
      </w:r>
    </w:p>
    <w:p>
      <w:pPr>
        <w:pStyle w:val="BodyText"/>
        <w:spacing w:before="14"/>
        <w:ind w:left="0" w:right="0"/>
      </w:pPr>
    </w:p>
    <w:p>
      <w:pPr>
        <w:pStyle w:val="BodyText"/>
        <w:spacing w:line="295" w:lineRule="auto" w:before="0"/>
        <w:ind w:left="104"/>
      </w:pPr>
      <w:r>
        <w:rPr>
          <w:color w:val="6E6158"/>
        </w:rPr>
        <w:t>In addition to his legal practice, David serves as an adjunct professor at Arizona State </w:t>
      </w:r>
      <w:r>
        <w:rPr>
          <w:color w:val="6E6158"/>
        </w:rPr>
        <w:t>University’s</w:t>
      </w:r>
      <w:r>
        <w:rPr>
          <w:color w:val="6E6158"/>
          <w:spacing w:val="40"/>
        </w:rPr>
        <w:t> </w:t>
      </w:r>
      <w:r>
        <w:rPr>
          <w:color w:val="6E6158"/>
        </w:rPr>
        <w:t>Sandra</w:t>
      </w:r>
      <w:r>
        <w:rPr>
          <w:color w:val="6E6158"/>
          <w:spacing w:val="27"/>
        </w:rPr>
        <w:t> </w:t>
      </w:r>
      <w:r>
        <w:rPr>
          <w:color w:val="6E6158"/>
        </w:rPr>
        <w:t>Day</w:t>
      </w:r>
      <w:r>
        <w:rPr>
          <w:color w:val="6E6158"/>
          <w:spacing w:val="27"/>
        </w:rPr>
        <w:t> </w:t>
      </w:r>
      <w:r>
        <w:rPr>
          <w:color w:val="6E6158"/>
        </w:rPr>
        <w:t>O’Connor</w:t>
      </w:r>
      <w:r>
        <w:rPr>
          <w:color w:val="6E6158"/>
          <w:spacing w:val="27"/>
        </w:rPr>
        <w:t> </w:t>
      </w:r>
      <w:r>
        <w:rPr>
          <w:color w:val="6E6158"/>
        </w:rPr>
        <w:t>College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teaching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course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blockchain and cryptocurrency law and policy since 2018. His publications and presentations focus on the</w:t>
      </w:r>
      <w:r>
        <w:rPr>
          <w:color w:val="6E6158"/>
          <w:spacing w:val="40"/>
        </w:rPr>
        <w:t> </w:t>
      </w:r>
      <w:r>
        <w:rPr>
          <w:color w:val="6E6158"/>
        </w:rPr>
        <w:t>practical and regulatory challenges of integrating cutting-edge technologies into legal and</w:t>
      </w:r>
      <w:r>
        <w:rPr>
          <w:color w:val="6E6158"/>
          <w:spacing w:val="40"/>
        </w:rPr>
        <w:t> </w:t>
      </w:r>
      <w:r>
        <w:rPr>
          <w:color w:val="6E6158"/>
        </w:rPr>
        <w:t>business frameworks.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37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 Mason University, Antonin Scalia Law </w:t>
      </w:r>
      <w:r>
        <w:rPr>
          <w:color w:val="6E6158"/>
        </w:rPr>
        <w:t>School</w:t>
      </w:r>
      <w:r>
        <w:rPr>
          <w:color w:val="6E6158"/>
        </w:rPr>
        <w:t> B.A., English Literature, Loyola Marymount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6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07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410810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7256pt;width:1.65pt;height:1.65pt;mso-position-horizontal-relative:page;mso-position-vertical-relative:paragraph;z-index:15730688" id="docshape10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669175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691006pt;width:1.65pt;height:1.65pt;mso-position-horizontal-relative:page;mso-position-vertical-relative:paragraph;z-index:15731200" id="docshape11" coordorigin="1675,1054" coordsize="33,33" path="m1696,1086l1687,1086,1683,1085,1676,1078,1675,1075,1675,1066,1676,1062,1683,1055,1687,1054,1696,1054,1699,1055,1706,1062,1707,1066,1707,1070,1707,1075,1706,1078,1699,1085,1696,10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</w:t>
      </w:r>
      <w:r>
        <w:rPr>
          <w:color w:val="6E6158"/>
          <w:spacing w:val="80"/>
        </w:rPr>
        <w:t> </w:t>
      </w:r>
      <w:r>
        <w:rPr>
          <w:color w:val="6E6158"/>
        </w:rPr>
        <w:t>Blockchain &amp; </w:t>
      </w:r>
      <w:r>
        <w:rPr>
          <w:color w:val="6E6158"/>
        </w:rPr>
        <w:t>Cryptocurrency Advanced Energy</w:t>
      </w:r>
    </w:p>
    <w:p>
      <w:pPr>
        <w:pStyle w:val="Heading1"/>
        <w:spacing w:before="16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152870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036pt;width:1.65pt;height:1.65pt;mso-position-horizontal-relative:page;mso-position-vertical-relative:paragraph;z-index:15731712" id="docshape1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168392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9261pt;width:1.65pt;height:1.65pt;mso-position-horizontal-relative:page;mso-position-vertical-relative:paragraph;z-index:15732224" id="docshape1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Elder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152583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55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“Innovation at Small and Mid-Sized Law Firms,” The Legal Tech Fund Summit, December 2024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130854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3487pt;width:1.65pt;height:1.65pt;mso-position-horizontal-relative:page;mso-position-vertical-relative:paragraph;z-index:15733248" id="docshape15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“DEFI, Stable Coins and NFTs, Blockchain and Patents,” Blockchain &amp; Cryptocurrencies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5"/>
        </w:rPr>
        <w:t> </w:t>
      </w:r>
      <w:r>
        <w:rPr>
          <w:color w:val="6E6158"/>
        </w:rPr>
        <w:t>Policy</w:t>
      </w:r>
      <w:r>
        <w:rPr>
          <w:color w:val="6E6158"/>
          <w:spacing w:val="15"/>
        </w:rPr>
        <w:t> </w:t>
      </w:r>
      <w:r>
        <w:rPr>
          <w:color w:val="6E6158"/>
        </w:rPr>
        <w:t>Sandra</w:t>
      </w:r>
      <w:r>
        <w:rPr>
          <w:color w:val="6E6158"/>
          <w:spacing w:val="15"/>
        </w:rPr>
        <w:t> </w:t>
      </w:r>
      <w:r>
        <w:rPr>
          <w:color w:val="6E6158"/>
        </w:rPr>
        <w:t>Day</w:t>
      </w:r>
      <w:r>
        <w:rPr>
          <w:color w:val="6E6158"/>
          <w:spacing w:val="15"/>
        </w:rPr>
        <w:t> </w:t>
      </w:r>
      <w:r>
        <w:rPr>
          <w:color w:val="6E6158"/>
        </w:rPr>
        <w:t>O’Connor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November</w:t>
      </w:r>
      <w:r>
        <w:rPr>
          <w:color w:val="6E6158"/>
          <w:spacing w:val="15"/>
        </w:rPr>
        <w:t> </w:t>
      </w:r>
      <w:r>
        <w:rPr>
          <w:color w:val="6E6158"/>
        </w:rPr>
        <w:t>5,</w:t>
      </w:r>
      <w:r>
        <w:rPr>
          <w:color w:val="6E6158"/>
          <w:spacing w:val="15"/>
        </w:rPr>
        <w:t> </w:t>
      </w:r>
      <w:r>
        <w:rPr>
          <w:color w:val="6E6158"/>
        </w:rPr>
        <w:t>2024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138016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46pt;width:1.65pt;height:1.65pt;mso-position-horizontal-relative:page;mso-position-vertical-relative:paragraph;z-index:15733760" id="docshape1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“Hadera AI Working Group: AI, Smart Contracts and Digital Assets,” November 5,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12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130892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6492pt;width:1.65pt;height:1.65pt;mso-position-horizontal-relative:page;mso-position-vertical-relative:paragraph;z-index:15734272" id="docshape17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“Supply Chains, Blockchains and Real Estate,” Blockchain &amp; Cryptocurrencies </w:t>
      </w:r>
      <w:r>
        <w:rPr>
          <w:color w:val="6E6158"/>
        </w:rPr>
        <w:t>Law</w:t>
      </w:r>
      <w:r>
        <w:rPr>
          <w:color w:val="6E6158"/>
          <w:spacing w:val="80"/>
        </w:rPr>
        <w:t> </w:t>
      </w:r>
      <w:r>
        <w:rPr>
          <w:color w:val="6E6158"/>
        </w:rPr>
        <w:t>&amp; Policy Sandra Day O’Connor College of Law, October 22, 2024</w:t>
      </w:r>
    </w:p>
    <w:p>
      <w:pPr>
        <w:pStyle w:val="BodyText"/>
        <w:spacing w:line="302" w:lineRule="auto" w:before="124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138054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465pt;width:1.65pt;height:1.65pt;mso-position-horizontal-relative:page;mso-position-vertical-relative:paragraph;z-index:15734784" id="docshape1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 Blockchains and AI,” Blockchain &amp; Cryptocurrencies Law &amp; Policy</w:t>
      </w:r>
      <w:r>
        <w:rPr>
          <w:color w:val="6E6158"/>
          <w:spacing w:val="40"/>
        </w:rPr>
        <w:t> </w:t>
      </w:r>
      <w:r>
        <w:rPr>
          <w:color w:val="6E6158"/>
        </w:rPr>
        <w:t>Sandra Day O’Connor College of Law, October 8, 2024</w:t>
      </w:r>
    </w:p>
    <w:p>
      <w:pPr>
        <w:pStyle w:val="BodyText"/>
        <w:spacing w:line="292" w:lineRule="auto" w:before="11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130930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9497pt;width:1.65pt;height:1.65pt;mso-position-horizontal-relative:page;mso-position-vertical-relative:paragraph;z-index:15735296" id="docshape19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 – A</w:t>
      </w:r>
      <w:r>
        <w:rPr>
          <w:color w:val="6E6158"/>
          <w:spacing w:val="78"/>
        </w:rPr>
        <w:t> </w:t>
      </w:r>
      <w:r>
        <w:rPr>
          <w:color w:val="6E6158"/>
        </w:rPr>
        <w:t>Case Study,” Blockchain &amp; Cryptocurrencies Law &amp; Policy Sandra Day O’Connor College of Law, September 10, 2024</w:t>
      </w:r>
    </w:p>
    <w:p>
      <w:pPr>
        <w:pStyle w:val="BodyText"/>
        <w:spacing w:line="302" w:lineRule="auto" w:before="124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138093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47pt;width:1.65pt;height:1.65pt;mso-position-horizontal-relative:page;mso-position-vertical-relative:paragraph;z-index:15735808" id="docshape2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Ethics of AI in Legal Practice,” Second Western Agricultural &amp; Environmental Law Conference, June 14, 2024</w:t>
      </w:r>
    </w:p>
    <w:p>
      <w:pPr>
        <w:pStyle w:val="BodyText"/>
        <w:spacing w:before="11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130968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2502pt;width:1.65pt;height:1.65pt;mso-position-horizontal-relative:page;mso-position-vertical-relative:paragraph;z-index:15736320" id="docshape21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9"/>
        </w:rPr>
        <w:t> </w:t>
      </w:r>
      <w:r>
        <w:rPr>
          <w:color w:val="6E6158"/>
        </w:rPr>
        <w:t>“SCG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Working</w:t>
      </w:r>
      <w:r>
        <w:rPr>
          <w:color w:val="6E6158"/>
          <w:spacing w:val="10"/>
        </w:rPr>
        <w:t> </w:t>
      </w:r>
      <w:r>
        <w:rPr>
          <w:color w:val="6E6158"/>
        </w:rPr>
        <w:t>Group.</w:t>
      </w:r>
      <w:r>
        <w:rPr>
          <w:color w:val="6E6158"/>
          <w:spacing w:val="10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Ethics</w:t>
      </w:r>
      <w:r>
        <w:rPr>
          <w:color w:val="6E6158"/>
          <w:spacing w:val="10"/>
        </w:rPr>
        <w:t> </w:t>
      </w:r>
      <w:r>
        <w:rPr>
          <w:color w:val="6E6158"/>
        </w:rPr>
        <w:t>panel</w:t>
      </w:r>
      <w:r>
        <w:rPr>
          <w:color w:val="6E6158"/>
          <w:spacing w:val="10"/>
        </w:rPr>
        <w:t> </w:t>
      </w:r>
      <w:r>
        <w:rPr>
          <w:color w:val="6E6158"/>
        </w:rPr>
        <w:t>discussion,”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</w:rPr>
        <w:t>23,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170288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546pt;width:1.65pt;height:1.65pt;mso-position-horizontal-relative:page;mso-position-vertical-relative:paragraph;z-index:15736832" id="docshape2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“LegalTech Boston: AI, Legal Work Remix and Alternative Fee Arrangements,” </w:t>
      </w:r>
      <w:r>
        <w:rPr>
          <w:color w:val="6E6158"/>
        </w:rPr>
        <w:t>May 17, 2024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143248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394pt;width:1.65pt;height:1.65pt;mso-position-horizontal-relative:page;mso-position-vertical-relative:paragraph;z-index:15737344" id="docshape2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“AI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7"/>
        </w:rPr>
        <w:t> </w:t>
      </w:r>
      <w:r>
        <w:rPr>
          <w:color w:val="6E6158"/>
        </w:rPr>
        <w:t>Tech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House</w:t>
      </w:r>
      <w:r>
        <w:rPr>
          <w:color w:val="6E6158"/>
          <w:spacing w:val="8"/>
        </w:rPr>
        <w:t> </w:t>
      </w:r>
      <w:r>
        <w:rPr>
          <w:color w:val="6E6158"/>
        </w:rPr>
        <w:t>Counsel,”</w:t>
      </w:r>
      <w:r>
        <w:rPr>
          <w:color w:val="6E6158"/>
          <w:spacing w:val="7"/>
        </w:rPr>
        <w:t> </w:t>
      </w:r>
      <w:r>
        <w:rPr>
          <w:color w:val="6E6158"/>
        </w:rPr>
        <w:t>March</w:t>
      </w:r>
      <w:r>
        <w:rPr>
          <w:color w:val="6E6158"/>
          <w:spacing w:val="7"/>
        </w:rPr>
        <w:t> </w:t>
      </w:r>
      <w:r>
        <w:rPr>
          <w:color w:val="6E6158"/>
        </w:rPr>
        <w:t>19,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420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169868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439pt;width:1.65pt;height:1.65pt;mso-position-horizontal-relative:page;mso-position-vertical-relative:paragraph;z-index:15737856" id="docshape24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428233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9189pt;width:1.65pt;height:1.65pt;mso-position-horizontal-relative:page;mso-position-vertical-relative:paragraph;z-index:15738368" id="docshape25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“CLE: Litigation update: Name, Image and Likeness &amp; NCAA,” March 7, 2024 Presenter, “Digital Assets, AI And Technology solutions for Trusts and Estates,” January 16, 2024</w:t>
      </w:r>
    </w:p>
    <w:p>
      <w:pPr>
        <w:pStyle w:val="BodyText"/>
        <w:spacing w:line="292" w:lineRule="auto"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63536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844pt;width:1.65pt;height:1.65pt;mso-position-horizontal-relative:page;mso-position-vertical-relative:paragraph;z-index:15738880" id="docshape2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“Corporate Transparency Act takes aim at financial crime,” Capitol Times, January </w:t>
      </w:r>
      <w:r>
        <w:rPr>
          <w:color w:val="6E6158"/>
        </w:rPr>
        <w:t>12,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138008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817pt;width:1.65pt;height:1.65pt;mso-position-horizontal-relative:page;mso-position-vertical-relative:paragraph;z-index:15739392" id="docshape2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“Considerations for Business and Student Athletes – Negotiating Name Image </w:t>
      </w:r>
      <w:r>
        <w:rPr>
          <w:color w:val="6E6158"/>
        </w:rPr>
        <w:t>and Likeness Deals,” NIL Deals, January 4, 2024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142718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666pt;width:1.65pt;height:1.65pt;mso-position-horizontal-relative:page;mso-position-vertical-relative:paragraph;z-index:15739904" id="docshape2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Need to Know About Corporate Transparency Act,” Phoenix Business Journal and Horizon, January 2, 2024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080"/>
        </w:sectPr>
      </w:pPr>
    </w:p>
    <w:p>
      <w:pPr>
        <w:pStyle w:val="BodyText"/>
        <w:spacing w:line="292" w:lineRule="auto" w:before="88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416" id="docshape2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“Corporate Transparency Act to Enhance Economic Transparency in </w:t>
      </w:r>
      <w:r>
        <w:rPr>
          <w:color w:val="6E6158"/>
        </w:rPr>
        <w:t>Business,” Arizona PBS, January 2, 2024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0928" id="docshape3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“Fennemore exec down new Corporate Transparency Act requirements,” </w:t>
      </w:r>
      <w:r>
        <w:rPr>
          <w:color w:val="6E6158"/>
        </w:rPr>
        <w:t>Phoenix Business Journal, January 2, 2024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137641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911pt;width:1.65pt;height:1.65pt;mso-position-horizontal-relative:page;mso-position-vertical-relative:paragraph;z-index:15741440" id="docshape3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to prepare for implementation of the Corporate Transparency Act on Jan. 1,” AZ Big Media, December 20, 2023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9pt;width:1.65pt;height:1.65pt;mso-position-horizontal-relative:page;mso-position-vertical-relative:paragraph;z-index:15741952" id="docshape3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1"/>
        </w:rPr>
        <w:t> </w:t>
      </w:r>
      <w:r>
        <w:rPr>
          <w:color w:val="6E6158"/>
        </w:rPr>
        <w:t>“Student</w:t>
      </w:r>
      <w:r>
        <w:rPr>
          <w:color w:val="6E6158"/>
          <w:spacing w:val="11"/>
        </w:rPr>
        <w:t> </w:t>
      </w:r>
      <w:r>
        <w:rPr>
          <w:color w:val="6E6158"/>
        </w:rPr>
        <w:t>Athletes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Getting</w:t>
      </w:r>
      <w:r>
        <w:rPr>
          <w:color w:val="6E6158"/>
          <w:spacing w:val="11"/>
        </w:rPr>
        <w:t> </w:t>
      </w:r>
      <w:r>
        <w:rPr>
          <w:color w:val="6E6158"/>
        </w:rPr>
        <w:t>Paid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Their</w:t>
      </w:r>
      <w:r>
        <w:rPr>
          <w:color w:val="6E6158"/>
          <w:spacing w:val="11"/>
        </w:rPr>
        <w:t> </w:t>
      </w:r>
      <w:r>
        <w:rPr>
          <w:color w:val="6E6158"/>
        </w:rPr>
        <w:t>Name,”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3,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1"/>
        </w:rPr>
        <w:t> </w:t>
      </w:r>
      <w:r>
        <w:rPr>
          <w:color w:val="6E6158"/>
        </w:rPr>
        <w:t>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170241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803pt;width:1.65pt;height:1.65pt;mso-position-horizontal-relative:page;mso-position-vertical-relative:paragraph;z-index:15742464" id="docshape3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“Blockchain Beyond Business: A Look at ASU’S Relationship with </w:t>
      </w:r>
      <w:r>
        <w:rPr>
          <w:color w:val="6E6158"/>
        </w:rPr>
        <w:t>Cybersecurity Technology,” The State Press, March 21, 2023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138033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776pt;width:1.65pt;height:1.65pt;mso-position-horizontal-relative:page;mso-position-vertical-relative:paragraph;z-index:15742976" id="docshape3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“Legacy Businesses: Setting up baby boomers for success,” Lovin’ Life After </w:t>
      </w:r>
      <w:r>
        <w:rPr>
          <w:color w:val="6E6158"/>
        </w:rPr>
        <w:t>50, November 14, 2022</w:t>
      </w:r>
    </w:p>
    <w:p>
      <w:pPr>
        <w:pStyle w:val="BodyText"/>
        <w:spacing w:before="11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130909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808pt;width:1.65pt;height:1.65pt;mso-position-horizontal-relative:page;mso-position-vertical-relative:paragraph;z-index:15743488" id="docshape35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2"/>
        </w:rPr>
        <w:t> </w:t>
      </w:r>
      <w:r>
        <w:rPr>
          <w:color w:val="6E6158"/>
        </w:rPr>
        <w:t>”</w:t>
      </w:r>
      <w:r>
        <w:rPr>
          <w:color w:val="6E6158"/>
          <w:spacing w:val="12"/>
        </w:rPr>
        <w:t> </w:t>
      </w:r>
      <w:r>
        <w:rPr>
          <w:color w:val="6E6158"/>
        </w:rPr>
        <w:t>Legacy</w:t>
      </w:r>
      <w:r>
        <w:rPr>
          <w:color w:val="6E6158"/>
          <w:spacing w:val="13"/>
        </w:rPr>
        <w:t> </w:t>
      </w:r>
      <w:r>
        <w:rPr>
          <w:color w:val="6E6158"/>
        </w:rPr>
        <w:t>Businesses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55+,”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PBS,</w:t>
      </w:r>
      <w:r>
        <w:rPr>
          <w:color w:val="6E6158"/>
          <w:spacing w:val="12"/>
        </w:rPr>
        <w:t> </w:t>
      </w:r>
      <w:r>
        <w:rPr>
          <w:color w:val="6E6158"/>
        </w:rPr>
        <w:t>September</w:t>
      </w:r>
      <w:r>
        <w:rPr>
          <w:color w:val="6E6158"/>
          <w:spacing w:val="13"/>
        </w:rPr>
        <w:t> </w:t>
      </w:r>
      <w:r>
        <w:rPr>
          <w:color w:val="6E6158"/>
        </w:rPr>
        <w:t>27,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170228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852pt;width:1.65pt;height:1.65pt;mso-position-horizontal-relative:page;mso-position-vertical-relative:paragraph;z-index:15744000" id="docshape3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“The Importance of a Proper Business Exit Strategy,” Next Avenue, September </w:t>
      </w:r>
      <w:r>
        <w:rPr>
          <w:color w:val="6E6158"/>
        </w:rPr>
        <w:t>13,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143188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7pt;width:1.65pt;height:1.65pt;mso-position-horizontal-relative:page;mso-position-vertical-relative:paragraph;z-index:15744512" id="docshape3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Baby Boomers can set up success in the sale of legacy businesses,” </w:t>
      </w:r>
      <w:r>
        <w:rPr>
          <w:color w:val="6E6158"/>
        </w:rPr>
        <w:t>Daily Independent, August 26, 2022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137651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674pt;width:1.65pt;height:1.65pt;mso-position-horizontal-relative:page;mso-position-vertical-relative:paragraph;z-index:15745024" id="docshape38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“Setting Baby Boomers up for success in the sale of legacy businesses,” Arizona Digital Free Press, August 2022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131161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7705pt;width:1.65pt;height:1.65pt;mso-position-horizontal-relative:page;mso-position-vertical-relative:paragraph;z-index:15745536" id="docshape39" coordorigin="1675,207" coordsize="33,33" path="m1696,239l1687,239,1683,238,1676,231,1675,227,1675,218,1676,214,1683,208,1687,207,1696,207,1699,208,1706,214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“Setting Baby Boomers Up for Success in the Sale of Legacy Businesses,” </w:t>
      </w:r>
      <w:r>
        <w:rPr>
          <w:color w:val="6E6158"/>
        </w:rPr>
        <w:t>inBusiness, August 2022</w:t>
      </w:r>
    </w:p>
    <w:p>
      <w:pPr>
        <w:pStyle w:val="BodyText"/>
        <w:spacing w:line="30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137689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679pt;width:1.65pt;height:1.65pt;mso-position-horizontal-relative:page;mso-position-vertical-relative:paragraph;z-index:15746048" id="docshape4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“Experts: Is it OK to pay your employees in Bitcoin?” Daily Independent, June 2, </w:t>
      </w:r>
      <w:r>
        <w:rPr>
          <w:color w:val="6E6158"/>
          <w:spacing w:val="-4"/>
        </w:rPr>
        <w:t>2022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131200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71pt;width:1.65pt;height:1.65pt;mso-position-horizontal-relative:page;mso-position-vertical-relative:paragraph;z-index:15746560" id="docshape41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”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it</w:t>
      </w:r>
      <w:r>
        <w:rPr>
          <w:color w:val="6E6158"/>
          <w:spacing w:val="8"/>
        </w:rPr>
        <w:t> </w:t>
      </w:r>
      <w:r>
        <w:rPr>
          <w:color w:val="6E6158"/>
        </w:rPr>
        <w:t>OK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pay</w:t>
      </w:r>
      <w:r>
        <w:rPr>
          <w:color w:val="6E6158"/>
          <w:spacing w:val="7"/>
        </w:rPr>
        <w:t> </w:t>
      </w:r>
      <w:r>
        <w:rPr>
          <w:color w:val="6E6158"/>
        </w:rPr>
        <w:t>employees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Bitcoin?”</w:t>
      </w:r>
      <w:r>
        <w:rPr>
          <w:color w:val="6E6158"/>
          <w:spacing w:val="8"/>
        </w:rPr>
        <w:t> </w:t>
      </w:r>
      <w:r>
        <w:rPr>
          <w:color w:val="6E6158"/>
        </w:rPr>
        <w:t>AZ</w:t>
      </w:r>
      <w:r>
        <w:rPr>
          <w:color w:val="6E6158"/>
          <w:spacing w:val="8"/>
        </w:rPr>
        <w:t> </w:t>
      </w:r>
      <w:r>
        <w:rPr>
          <w:color w:val="6E6158"/>
        </w:rPr>
        <w:t>Big</w:t>
      </w:r>
      <w:r>
        <w:rPr>
          <w:color w:val="6E6158"/>
          <w:spacing w:val="7"/>
        </w:rPr>
        <w:t> </w:t>
      </w:r>
      <w:r>
        <w:rPr>
          <w:color w:val="6E6158"/>
        </w:rPr>
        <w:t>Media,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7"/>
        </w:rPr>
        <w:t> </w:t>
      </w:r>
      <w:r>
        <w:rPr>
          <w:color w:val="6E6158"/>
        </w:rPr>
        <w:t>26,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169884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755pt;width:1.65pt;height:1.65pt;mso-position-horizontal-relative:page;mso-position-vertical-relative:paragraph;z-index:15747072" id="docshape42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“Is it time to start paying your employees in cryptocurrency?” Phoenix </w:t>
      </w:r>
      <w:r>
        <w:rPr>
          <w:color w:val="6E6158"/>
        </w:rPr>
        <w:t>Business Journal, May 24, 2022</w:t>
      </w:r>
    </w:p>
    <w:p>
      <w:pPr>
        <w:pStyle w:val="BodyText"/>
        <w:spacing w:line="292" w:lineRule="auto" w:before="131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142844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603pt;width:1.65pt;height:1.65pt;mso-position-horizontal-relative:page;mso-position-vertical-relative:paragraph;z-index:15747584" id="docshape43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“My View: Purchasing NFT art and sports memorabilia is the rage — but buyer beware,” Phoenix Business Journal, April 20, 2022</w:t>
      </w:r>
    </w:p>
    <w:p>
      <w:pPr>
        <w:pStyle w:val="BodyText"/>
        <w:spacing w:line="42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137942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576pt;width:1.65pt;height:1.65pt;mso-position-horizontal-relative:page;mso-position-vertical-relative:paragraph;z-index:15748096" id="docshape4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396307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05326pt;width:1.65pt;height:1.65pt;mso-position-horizontal-relative:page;mso-position-vertical-relative:paragraph;z-index:15748608" id="docshape45" coordorigin="1675,624" coordsize="33,33" path="m1696,657l1687,657,1683,655,1676,649,1675,645,1675,636,1676,632,1683,626,1687,624,1696,624,1699,626,1706,632,1707,636,1707,640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“So, you want to take your paycheck in bitcoin?” Morning Brew, March 31, 2022</w:t>
      </w:r>
      <w:r>
        <w:rPr>
          <w:color w:val="6E6158"/>
          <w:spacing w:val="40"/>
        </w:rPr>
        <w:t> </w:t>
      </w:r>
      <w:r>
        <w:rPr>
          <w:color w:val="6E6158"/>
        </w:rPr>
        <w:t>Interview,</w:t>
      </w:r>
      <w:r>
        <w:rPr>
          <w:color w:val="6E6158"/>
          <w:spacing w:val="32"/>
        </w:rPr>
        <w:t> </w:t>
      </w:r>
      <w:r>
        <w:rPr>
          <w:color w:val="6E6158"/>
        </w:rPr>
        <w:t>“Britney</w:t>
      </w:r>
      <w:r>
        <w:rPr>
          <w:color w:val="6E6158"/>
          <w:spacing w:val="32"/>
        </w:rPr>
        <w:t> </w:t>
      </w:r>
      <w:r>
        <w:rPr>
          <w:color w:val="6E6158"/>
        </w:rPr>
        <w:t>Spears</w:t>
      </w:r>
      <w:r>
        <w:rPr>
          <w:color w:val="6E6158"/>
          <w:spacing w:val="32"/>
        </w:rPr>
        <w:t> </w:t>
      </w:r>
      <w:r>
        <w:rPr>
          <w:color w:val="6E6158"/>
        </w:rPr>
        <w:t>Conservatorship</w:t>
      </w:r>
      <w:r>
        <w:rPr>
          <w:color w:val="6E6158"/>
          <w:spacing w:val="32"/>
        </w:rPr>
        <w:t> </w:t>
      </w:r>
      <w:r>
        <w:rPr>
          <w:color w:val="6E6158"/>
        </w:rPr>
        <w:t>Hearing,”</w:t>
      </w:r>
      <w:r>
        <w:rPr>
          <w:color w:val="6E6158"/>
          <w:spacing w:val="32"/>
        </w:rPr>
        <w:t> </w:t>
      </w:r>
      <w:r>
        <w:rPr>
          <w:color w:val="6E6158"/>
        </w:rPr>
        <w:t>Fox</w:t>
      </w:r>
      <w:r>
        <w:rPr>
          <w:color w:val="6E6158"/>
          <w:spacing w:val="32"/>
        </w:rPr>
        <w:t> </w:t>
      </w:r>
      <w:r>
        <w:rPr>
          <w:color w:val="6E6158"/>
        </w:rPr>
        <w:t>10</w:t>
      </w:r>
      <w:r>
        <w:rPr>
          <w:color w:val="6E6158"/>
          <w:spacing w:val="32"/>
        </w:rPr>
        <w:t> </w:t>
      </w:r>
      <w:r>
        <w:rPr>
          <w:color w:val="6E6158"/>
        </w:rPr>
        <w:t>Phoenix,</w:t>
      </w:r>
      <w:r>
        <w:rPr>
          <w:color w:val="6E6158"/>
          <w:spacing w:val="32"/>
        </w:rPr>
        <w:t> </w:t>
      </w:r>
      <w:r>
        <w:rPr>
          <w:color w:val="6E6158"/>
        </w:rPr>
        <w:t>November</w:t>
      </w:r>
      <w:r>
        <w:rPr>
          <w:color w:val="6E6158"/>
          <w:spacing w:val="32"/>
        </w:rPr>
        <w:t> </w:t>
      </w:r>
      <w:r>
        <w:rPr>
          <w:color w:val="6E6158"/>
        </w:rPr>
        <w:t>18,</w:t>
      </w:r>
      <w:r>
        <w:rPr>
          <w:color w:val="6E6158"/>
          <w:spacing w:val="32"/>
        </w:rPr>
        <w:t> </w:t>
      </w:r>
      <w:r>
        <w:rPr>
          <w:color w:val="6E6158"/>
        </w:rPr>
        <w:t>2021</w:t>
      </w:r>
    </w:p>
    <w:p>
      <w:pPr>
        <w:pStyle w:val="BodyText"/>
        <w:spacing w:line="292" w:lineRule="auto" w:before="7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63995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8982pt;width:1.65pt;height:1.65pt;mso-position-horizontal-relative:page;mso-position-vertical-relative:paragraph;z-index:15749120" id="docshape46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“My View: Why Bitcoin is gaining critical legitimacy as new asset class,” November 9, </w:t>
      </w:r>
      <w:r>
        <w:rPr>
          <w:color w:val="6E6158"/>
          <w:spacing w:val="-4"/>
        </w:rPr>
        <w:t>2021</w:t>
      </w:r>
    </w:p>
    <w:p>
      <w:pPr>
        <w:pStyle w:val="BodyText"/>
        <w:spacing w:line="427" w:lineRule="auto"/>
        <w:ind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137832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956pt;width:1.65pt;height:1.65pt;mso-position-horizontal-relative:page;mso-position-vertical-relative:paragraph;z-index:15749632" id="docshape4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401365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358pt;width:1.65pt;height:1.65pt;mso-position-horizontal-relative:page;mso-position-vertical-relative:paragraph;z-index:15750144" id="docshape48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“Britney Conservatorship Hearing,” Fox 10 Phoenix, August 19, </w:t>
      </w:r>
      <w:r>
        <w:rPr>
          <w:color w:val="6E6158"/>
        </w:rPr>
        <w:t>2021 Quoted, “Britney Conservatorship Hearing,” Fox 10 Phoenix, June 23, 2021</w:t>
      </w:r>
    </w:p>
    <w:p>
      <w:pPr>
        <w:pStyle w:val="BodyText"/>
        <w:spacing w:line="29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55010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1499pt;width:1.65pt;height:1.65pt;mso-position-horizontal-relative:page;mso-position-vertical-relative:paragraph;z-index:15750656" id="docshape49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Podcast, “Lessons Learned from the Rich and Famous with David McCarville,” </w:t>
        </w:r>
        <w:r>
          <w:rPr>
            <w:color w:val="FF8100"/>
          </w:rPr>
          <w:t>Fenn.Talks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Podcast, June 17, 2021</w:t>
        </w:r>
      </w:hyperlink>
    </w:p>
    <w:p>
      <w:pPr>
        <w:pStyle w:val="BodyText"/>
        <w:spacing w:before="11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133292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95472pt;width:1.65pt;height:1.65pt;mso-position-horizontal-relative:page;mso-position-vertical-relative:paragraph;z-index:15751168" id="docshape50" coordorigin="1675,210" coordsize="33,33" path="m1696,242l1687,242,1683,241,1676,235,1675,231,1675,222,1676,218,1683,211,1687,210,1696,210,1699,211,1706,218,1707,222,1707,226,1707,231,1706,235,1699,241,1696,2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Center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Paradigm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Shift,”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June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10,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82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175239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391pt;width:1.65pt;height:1.65pt;mso-position-horizontal-relative:page;mso-position-vertical-relative:paragraph;z-index:15751680" id="docshape5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David McCarville speaks about the importance of designating a </w:t>
      </w:r>
      <w:r>
        <w:rPr>
          <w:color w:val="6E6158"/>
        </w:rPr>
        <w:t>power</w:t>
      </w:r>
      <w:r>
        <w:rPr>
          <w:color w:val="6E6158"/>
          <w:spacing w:val="80"/>
        </w:rPr>
        <w:t> </w:t>
      </w:r>
      <w:r>
        <w:rPr>
          <w:color w:val="6E6158"/>
        </w:rPr>
        <w:t>of attorney,” Arizona PBS, May 26, 2021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137952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2365pt;width:1.65pt;height:1.65pt;mso-position-horizontal-relative:page;mso-position-vertical-relative:paragraph;z-index:15752192" id="docshape5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“Will Bitcoin Ever Be Accepted Widely as a Form of Payment?” GO Banking Rates,</w:t>
      </w:r>
      <w:r>
        <w:rPr>
          <w:color w:val="6E6158"/>
          <w:spacing w:val="40"/>
        </w:rPr>
        <w:t> </w:t>
      </w:r>
      <w:r>
        <w:rPr>
          <w:color w:val="6E6158"/>
        </w:rPr>
        <w:t>April 29, 2021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83" w:lineRule="auto" w:before="88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2704" id="docshape5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“Twitter CEO Jack Dorsey’s first tweet sold for $2.9 million on Sunday. The buyer said</w:t>
      </w:r>
      <w:r>
        <w:rPr>
          <w:color w:val="6E6158"/>
          <w:spacing w:val="40"/>
        </w:rPr>
        <w:t> </w:t>
      </w:r>
      <w:r>
        <w:rPr>
          <w:color w:val="6E6158"/>
        </w:rPr>
        <w:t>it’s the Mona Lisa of tweets,” </w:t>
      </w:r>
      <w:r>
        <w:rPr>
          <w:i/>
          <w:color w:val="6E6158"/>
          <w:sz w:val="20"/>
        </w:rPr>
        <w:t>Insider, </w:t>
      </w:r>
      <w:r>
        <w:rPr>
          <w:color w:val="6E6158"/>
        </w:rPr>
        <w:t>March 24, 2021</w:t>
      </w:r>
    </w:p>
    <w:p>
      <w:pPr>
        <w:pStyle w:val="BodyText"/>
        <w:spacing w:line="292" w:lineRule="auto" w:before="136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145827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2492pt;width:1.65pt;height:1.65pt;mso-position-horizontal-relative:page;mso-position-vertical-relative:paragraph;z-index:15753216" id="docshape54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“Hospitals Required to Provide Patients With Transparent Pricing,”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Alert, September 2, 2020</w:t>
        </w:r>
      </w:hyperlink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137750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466pt;width:1.65pt;height:1.65pt;mso-position-horizontal-relative:page;mso-position-vertical-relative:paragraph;z-index:15753728" id="docshape55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7"/>
        </w:rPr>
        <w:t> </w:t>
      </w:r>
      <w:r>
        <w:rPr>
          <w:color w:val="6E6158"/>
        </w:rPr>
        <w:t>“Why</w:t>
      </w:r>
      <w:r>
        <w:rPr>
          <w:color w:val="6E6158"/>
          <w:spacing w:val="8"/>
        </w:rPr>
        <w:t> </w:t>
      </w:r>
      <w:r>
        <w:rPr>
          <w:color w:val="6E6158"/>
        </w:rPr>
        <w:t>Do</w:t>
      </w:r>
      <w:r>
        <w:rPr>
          <w:color w:val="6E6158"/>
          <w:spacing w:val="8"/>
        </w:rPr>
        <w:t> </w:t>
      </w:r>
      <w:r>
        <w:rPr>
          <w:color w:val="6E6158"/>
        </w:rPr>
        <w:t>Enterprise</w:t>
      </w:r>
      <w:r>
        <w:rPr>
          <w:color w:val="6E6158"/>
          <w:spacing w:val="8"/>
        </w:rPr>
        <w:t> </w:t>
      </w:r>
      <w:r>
        <w:rPr>
          <w:color w:val="6E6158"/>
        </w:rPr>
        <w:t>Blockchain</w:t>
      </w:r>
      <w:r>
        <w:rPr>
          <w:color w:val="6E6158"/>
          <w:spacing w:val="8"/>
        </w:rPr>
        <w:t> </w:t>
      </w:r>
      <w:r>
        <w:rPr>
          <w:color w:val="6E6158"/>
        </w:rPr>
        <w:t>Systems</w:t>
      </w:r>
      <w:r>
        <w:rPr>
          <w:color w:val="6E6158"/>
          <w:spacing w:val="8"/>
        </w:rPr>
        <w:t> </w:t>
      </w:r>
      <w:r>
        <w:rPr>
          <w:color w:val="6E6158"/>
        </w:rPr>
        <w:t>Fail?</w:t>
      </w:r>
      <w:r>
        <w:rPr>
          <w:color w:val="6E6158"/>
          <w:spacing w:val="8"/>
        </w:rPr>
        <w:t> </w:t>
      </w:r>
      <w:r>
        <w:rPr>
          <w:color w:val="6E6158"/>
        </w:rPr>
        <w:t>(Exclusive),”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E-Crypto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News,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June</w:t>
      </w:r>
      <w:r>
        <w:rPr>
          <w:color w:val="6E6158"/>
          <w:spacing w:val="8"/>
        </w:rPr>
        <w:t> </w:t>
      </w:r>
      <w:r>
        <w:rPr>
          <w:color w:val="6E6158"/>
        </w:rPr>
        <w:t>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168649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9472pt;width:1.65pt;height:1.65pt;mso-position-horizontal-relative:page;mso-position-vertical-relative:paragraph;z-index:15754240" id="docshape56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6"/>
        </w:rPr>
        <w:t> </w:t>
      </w:r>
      <w:r>
        <w:rPr>
          <w:color w:val="6E6158"/>
        </w:rPr>
        <w:t>“Demystifying</w:t>
      </w:r>
      <w:r>
        <w:rPr>
          <w:color w:val="6E6158"/>
          <w:spacing w:val="16"/>
        </w:rPr>
        <w:t> </w:t>
      </w:r>
      <w:r>
        <w:rPr>
          <w:color w:val="6E6158"/>
        </w:rPr>
        <w:t>Cryptocurrencies:</w:t>
      </w:r>
      <w:r>
        <w:rPr>
          <w:color w:val="6E6158"/>
          <w:spacing w:val="16"/>
        </w:rPr>
        <w:t> </w:t>
      </w:r>
      <w:r>
        <w:rPr>
          <w:color w:val="6E6158"/>
        </w:rPr>
        <w:t>Promise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Potential</w:t>
      </w:r>
      <w:r>
        <w:rPr>
          <w:color w:val="6E6158"/>
          <w:spacing w:val="16"/>
        </w:rPr>
        <w:t> </w:t>
      </w:r>
      <w:r>
        <w:rPr>
          <w:color w:val="6E6158"/>
        </w:rPr>
        <w:t>Lead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Growing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Appeal,”</w:t>
      </w:r>
    </w:p>
    <w:p>
      <w:pPr>
        <w:spacing w:before="50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Destination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CRM,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29,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168430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2274pt;width:1.65pt;height:1.65pt;mso-position-horizontal-relative:page;mso-position-vertical-relative:paragraph;z-index:15754752" id="docshape5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“Key Blockchain Concepts for Corporate Counsel,” Association of </w:t>
      </w:r>
      <w:r>
        <w:rPr>
          <w:color w:val="6E6158"/>
        </w:rPr>
        <w:t>Corporate Counsel, March 12, 2020</w:t>
      </w:r>
    </w:p>
    <w:p>
      <w:pPr>
        <w:pStyle w:val="BodyText"/>
        <w:spacing w:line="302" w:lineRule="auto"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138128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247pt;width:1.65pt;height:1.65pt;mso-position-horizontal-relative:page;mso-position-vertical-relative:paragraph;z-index:15755264" id="docshape58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the Practice of Law and Blockchain Technology,” ASU Law School: Blockchain and Cryptocurrency Law and Policy, December 2, 2019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131004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5279pt;width:1.65pt;height:1.65pt;mso-position-horizontal-relative:page;mso-position-vertical-relative:paragraph;z-index:15755776" id="docshape5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“Blockchain</w:t>
      </w:r>
      <w:r>
        <w:rPr>
          <w:color w:val="6E6158"/>
          <w:spacing w:val="8"/>
        </w:rPr>
        <w:t> </w:t>
      </w:r>
      <w:r>
        <w:rPr>
          <w:color w:val="6E6158"/>
        </w:rPr>
        <w:t>Technology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</w:rPr>
        <w:t>Tool,”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Planners,</w:t>
      </w:r>
      <w:r>
        <w:rPr>
          <w:color w:val="6E6158"/>
          <w:spacing w:val="8"/>
        </w:rPr>
        <w:t> </w:t>
      </w:r>
      <w:r>
        <w:rPr>
          <w:color w:val="6E6158"/>
        </w:rPr>
        <w:t>November</w:t>
      </w:r>
      <w:r>
        <w:rPr>
          <w:color w:val="6E6158"/>
          <w:spacing w:val="9"/>
        </w:rPr>
        <w:t> </w:t>
      </w:r>
      <w:r>
        <w:rPr>
          <w:color w:val="6E6158"/>
        </w:rPr>
        <w:t>21,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169688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323pt;width:1.65pt;height:1.65pt;mso-position-horizontal-relative:page;mso-position-vertical-relative:paragraph;z-index:15756288" id="docshape6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 for Lawyers,” Lawyers Networking Group Continuing Legal </w:t>
      </w:r>
      <w:r>
        <w:rPr>
          <w:color w:val="6E6158"/>
        </w:rPr>
        <w:t>Education, October 23, 2019</w:t>
      </w:r>
    </w:p>
    <w:p>
      <w:pPr>
        <w:pStyle w:val="BodyText"/>
        <w:spacing w:line="292" w:lineRule="auto"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143283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171pt;width:1.65pt;height:1.65pt;mso-position-horizontal-relative:page;mso-position-vertical-relative:paragraph;z-index:15756800" id="docshape6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“Supply Chain and Real Estate Applications,” ASU Law School: Blockchain </w:t>
      </w:r>
      <w:r>
        <w:rPr>
          <w:color w:val="6E6158"/>
        </w:rPr>
        <w:t>and Cryptocurrency Law and Policy, October 21, 2019</w:t>
      </w:r>
    </w:p>
    <w:p>
      <w:pPr>
        <w:pStyle w:val="BodyText"/>
        <w:spacing w:line="30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137746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145pt;width:1.65pt;height:1.65pt;mso-position-horizontal-relative:page;mso-position-vertical-relative:paragraph;z-index:15757312" id="docshape62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Contracts,” ASU Law School: Blockchain and Cryptocurrency Law </w:t>
      </w:r>
      <w:r>
        <w:rPr>
          <w:color w:val="6E6158"/>
        </w:rPr>
        <w:t>and Policy, September 23, 2019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131256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5176pt;width:1.65pt;height:1.65pt;mso-position-horizontal-relative:page;mso-position-vertical-relative:paragraph;z-index:15757824" id="docshape63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“Bitcoin: A Case Study,” ASU Law School: Blockchain and Cryptocurrency Law </w:t>
      </w:r>
      <w:r>
        <w:rPr>
          <w:color w:val="6E6158"/>
        </w:rPr>
        <w:t>and Policy, August 26, 2019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137784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915pt;width:1.65pt;height:1.65pt;mso-position-horizontal-relative:page;mso-position-vertical-relative:paragraph;z-index:15758336" id="docshape6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“Course Overview,” ASU Law School: Blockchain and Cryptocurrency Law </w:t>
      </w:r>
      <w:r>
        <w:rPr>
          <w:color w:val="6E6158"/>
        </w:rPr>
        <w:t>and Policy, August 21, 2019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131294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182pt;width:1.65pt;height:1.65pt;mso-position-horizontal-relative:page;mso-position-vertical-relative:paragraph;z-index:15758848" id="docshape65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Comerica Bank, August </w:t>
      </w:r>
      <w:r>
        <w:rPr>
          <w:color w:val="6E6158"/>
        </w:rPr>
        <w:t>20, </w:t>
      </w:r>
      <w:r>
        <w:rPr>
          <w:color w:val="6E6158"/>
          <w:spacing w:val="-4"/>
        </w:rPr>
        <w:t>2019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137822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2156pt;width:1.65pt;height:1.65pt;mso-position-horizontal-relative:page;mso-position-vertical-relative:paragraph;z-index:15759360" id="docshape6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“Blockchain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Cryptocurrencies,”</w:t>
      </w:r>
      <w:r>
        <w:rPr>
          <w:color w:val="6E6158"/>
          <w:spacing w:val="12"/>
        </w:rPr>
        <w:t> </w:t>
      </w:r>
      <w:r>
        <w:rPr>
          <w:color w:val="6E6158"/>
        </w:rPr>
        <w:t>Great</w:t>
      </w:r>
      <w:r>
        <w:rPr>
          <w:color w:val="6E6158"/>
          <w:spacing w:val="12"/>
        </w:rPr>
        <w:t> </w:t>
      </w:r>
      <w:r>
        <w:rPr>
          <w:color w:val="6E6158"/>
        </w:rPr>
        <w:t>West</w:t>
      </w:r>
      <w:r>
        <w:rPr>
          <w:color w:val="6E6158"/>
          <w:spacing w:val="12"/>
        </w:rPr>
        <w:t> </w:t>
      </w:r>
      <w:r>
        <w:rPr>
          <w:color w:val="6E6158"/>
        </w:rPr>
        <w:t>Financial,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175324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075pt;width:1.65pt;height:1.65pt;mso-position-horizontal-relative:page;mso-position-vertical-relative:paragraph;z-index:15759872" id="docshape6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“Blockchain: From Digital Currency to Smart Contracts and Beyond,” Arizona State Bar Convention, June 27, 2019</w:t>
      </w:r>
    </w:p>
    <w:p>
      <w:pPr>
        <w:pStyle w:val="BodyText"/>
        <w:spacing w:line="292" w:lineRule="auto" w:before="124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138036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048pt;width:1.65pt;height:1.65pt;mso-position-horizontal-relative:page;mso-position-vertical-relative:paragraph;z-index:15760384" id="docshape6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“Industrial Hemp Market and Regulatory Overview,” Commerce Bank of </w:t>
      </w:r>
      <w:r>
        <w:rPr>
          <w:color w:val="6E6158"/>
        </w:rPr>
        <w:t>Arizona, June 25, 2019</w:t>
      </w:r>
    </w:p>
    <w:p>
      <w:pPr>
        <w:pStyle w:val="BodyText"/>
        <w:spacing w:line="292" w:lineRule="auto" w:before="131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142746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896pt;width:1.65pt;height:1.65pt;mso-position-horizontal-relative:page;mso-position-vertical-relative:paragraph;z-index:15760896" id="docshape6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Pinnacle Peak Luxury </w:t>
      </w:r>
      <w:r>
        <w:rPr>
          <w:color w:val="6E6158"/>
        </w:rPr>
        <w:t>Home Tour, June 7, 2019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137844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869pt;width:1.65pt;height:1.65pt;mso-position-horizontal-relative:page;mso-position-vertical-relative:paragraph;z-index:15761408" id="docshape7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Walt Danley </w:t>
      </w:r>
      <w:r>
        <w:rPr>
          <w:color w:val="6E6158"/>
        </w:rPr>
        <w:t>Christie’s International Real Estate, April 24, 2019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131354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2901pt;width:1.65pt;height:1.65pt;mso-position-horizontal-relative:page;mso-position-vertical-relative:paragraph;z-index:15761920" id="docshape71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“Pitfalls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Avoid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7"/>
        </w:rPr>
        <w:t> </w:t>
      </w:r>
      <w:r>
        <w:rPr>
          <w:color w:val="6E6158"/>
        </w:rPr>
        <w:t>Merrill</w:t>
      </w:r>
      <w:r>
        <w:rPr>
          <w:color w:val="6E6158"/>
          <w:spacing w:val="8"/>
        </w:rPr>
        <w:t> </w:t>
      </w:r>
      <w:r>
        <w:rPr>
          <w:color w:val="6E6158"/>
        </w:rPr>
        <w:t>Lynch,</w:t>
      </w:r>
      <w:r>
        <w:rPr>
          <w:color w:val="6E6158"/>
          <w:spacing w:val="7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170039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946pt;width:1.65pt;height:1.65pt;mso-position-horizontal-relative:page;mso-position-vertical-relative:paragraph;z-index:15762432" id="docshape7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Blockchain for Bright Beginners,” ASU Arkfield e-Discovery and </w:t>
      </w:r>
      <w:r>
        <w:rPr>
          <w:color w:val="6E6158"/>
        </w:rPr>
        <w:t>Digital Evidence Conference, March 6, 2019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142999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793pt;width:1.65pt;height:1.65pt;mso-position-horizontal-relative:page;mso-position-vertical-relative:paragraph;z-index:15762944" id="docshape7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“Smart Contracts and Blockchain Subcommittee,” American Bar </w:t>
      </w:r>
      <w:r>
        <w:rPr>
          <w:color w:val="6E6158"/>
        </w:rPr>
        <w:t>Association Cyberspace Law Institute and Winter Working Meeting, January 24, 2019</w:t>
      </w:r>
    </w:p>
    <w:p>
      <w:pPr>
        <w:pStyle w:val="BodyText"/>
        <w:spacing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138096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767pt;width:1.65pt;height:1.65pt;mso-position-horizontal-relative:page;mso-position-vertical-relative:paragraph;z-index:15763456" id="docshape7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7"/>
        </w:rPr>
        <w:t> </w:t>
      </w:r>
      <w:r>
        <w:rPr>
          <w:color w:val="6E6158"/>
        </w:rPr>
        <w:t>“Smart</w:t>
      </w:r>
      <w:r>
        <w:rPr>
          <w:color w:val="6E6158"/>
          <w:spacing w:val="17"/>
        </w:rPr>
        <w:t> </w:t>
      </w:r>
      <w:r>
        <w:rPr>
          <w:color w:val="6E6158"/>
        </w:rPr>
        <w:t>Contracts,</w:t>
      </w:r>
      <w:r>
        <w:rPr>
          <w:color w:val="6E6158"/>
          <w:spacing w:val="18"/>
        </w:rPr>
        <w:t> </w:t>
      </w:r>
      <w:r>
        <w:rPr>
          <w:color w:val="6E6158"/>
        </w:rPr>
        <w:t>Logistics,</w:t>
      </w:r>
      <w:r>
        <w:rPr>
          <w:color w:val="6E6158"/>
          <w:spacing w:val="17"/>
        </w:rPr>
        <w:t> </w:t>
      </w:r>
      <w:r>
        <w:rPr>
          <w:color w:val="6E6158"/>
        </w:rPr>
        <w:t>International</w:t>
      </w:r>
      <w:r>
        <w:rPr>
          <w:color w:val="6E6158"/>
          <w:spacing w:val="17"/>
        </w:rPr>
        <w:t> </w:t>
      </w:r>
      <w:r>
        <w:rPr>
          <w:color w:val="6E6158"/>
        </w:rPr>
        <w:t>Implications,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Future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Applications,”</w:t>
      </w:r>
    </w:p>
    <w:p>
      <w:pPr>
        <w:pStyle w:val="BodyText"/>
        <w:spacing w:line="302" w:lineRule="auto" w:before="52"/>
        <w:ind w:right="494"/>
      </w:pPr>
      <w:r>
        <w:rPr>
          <w:color w:val="6E6158"/>
        </w:rPr>
        <w:t>Arizona Technology Council and Arizona Cyber Threat Response Alliance 2018 </w:t>
      </w:r>
      <w:r>
        <w:rPr>
          <w:color w:val="6E6158"/>
        </w:rPr>
        <w:t>Cybersecurity Lunch Forum, December 12, 2018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63968" id="docshape7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Blockchain,” ASU Law School: Blockchain and Cryptocurrency </w:t>
      </w:r>
      <w:r>
        <w:rPr>
          <w:color w:val="6E6158"/>
        </w:rPr>
        <w:t>Law and Policy, November 20, 2018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2pt;width:1.65pt;height:1.65pt;mso-position-horizontal-relative:page;mso-position-vertical-relative:paragraph;z-index:15764480" id="docshape7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“International Use Cases for Blockchain and Cryptocurrencies,” ASU Law </w:t>
      </w:r>
      <w:r>
        <w:rPr>
          <w:color w:val="6E6158"/>
        </w:rPr>
        <w:t>School: Blockchain and Cryptocurrency Law and Policy, November 6, 2018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137643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36pt;width:1.65pt;height:1.65pt;mso-position-horizontal-relative:page;mso-position-vertical-relative:paragraph;z-index:15764992" id="docshape7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 Technology in Real Estate and Supply Chain/Logistics,” ASU </w:t>
      </w:r>
      <w:r>
        <w:rPr>
          <w:color w:val="6E6158"/>
        </w:rPr>
        <w:t>Law School: Blockchain and Cryptocurrency Law and Policy, October 16, 2018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84pt;width:1.65pt;height:1.65pt;mso-position-horizontal-relative:page;mso-position-vertical-relative:paragraph;z-index:15765504" id="docshape7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“Pitfalls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Avoid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8"/>
        </w:rPr>
        <w:t> </w:t>
      </w:r>
      <w:r>
        <w:rPr>
          <w:color w:val="6E6158"/>
        </w:rPr>
        <w:t>Merrill</w:t>
      </w:r>
      <w:r>
        <w:rPr>
          <w:color w:val="6E6158"/>
          <w:spacing w:val="8"/>
        </w:rPr>
        <w:t> </w:t>
      </w:r>
      <w:r>
        <w:rPr>
          <w:color w:val="6E6158"/>
        </w:rPr>
        <w:t>Lynch,</w:t>
      </w:r>
      <w:r>
        <w:rPr>
          <w:color w:val="6E6158"/>
          <w:spacing w:val="8"/>
        </w:rPr>
        <w:t> </w:t>
      </w:r>
      <w:r>
        <w:rPr>
          <w:color w:val="6E6158"/>
        </w:rPr>
        <w:t>October</w:t>
      </w:r>
      <w:r>
        <w:rPr>
          <w:color w:val="6E6158"/>
          <w:spacing w:val="8"/>
        </w:rPr>
        <w:t> </w:t>
      </w:r>
      <w:r>
        <w:rPr>
          <w:color w:val="6E6158"/>
        </w:rPr>
        <w:t>3,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170242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928pt;width:1.65pt;height:1.65pt;mso-position-horizontal-relative:page;mso-position-vertical-relative:paragraph;z-index:15766016" id="docshape7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Legal Impacts of Blockchain Technology,” Arizona State Bar </w:t>
      </w:r>
      <w:r>
        <w:rPr>
          <w:color w:val="6E6158"/>
        </w:rPr>
        <w:t>Intellectual Property Section, October 16, 2018</w:t>
      </w:r>
    </w:p>
    <w:p>
      <w:pPr>
        <w:pStyle w:val="BodyText"/>
        <w:spacing w:line="302" w:lineRule="auto" w:before="124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138035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6"/>
                              </a:lnTo>
                              <a:lnTo>
                                <a:pt x="1009" y="5038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38"/>
                              </a:lnTo>
                              <a:lnTo>
                                <a:pt x="20669" y="7476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901pt;width:1.65pt;height:1.65pt;mso-position-horizontal-relative:page;mso-position-vertical-relative:paragraph;z-index:15766528" id="docshape8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Contracts,” ASU Law School: Blockchain and Cryptocurrency Law </w:t>
      </w:r>
      <w:r>
        <w:rPr>
          <w:color w:val="6E6158"/>
        </w:rPr>
        <w:t>and Policy, September 25, 2018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130910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7933pt;width:1.65pt;height:1.65pt;mso-position-horizontal-relative:page;mso-position-vertical-relative:paragraph;z-index:15767040" id="docshape81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Implications of Blockchain Technology,” Scottsdale Estate </w:t>
      </w:r>
      <w:r>
        <w:rPr>
          <w:color w:val="6E6158"/>
        </w:rPr>
        <w:t>Planners, September 13, 2018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138073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906pt;width:1.65pt;height:1.65pt;mso-position-horizontal-relative:page;mso-position-vertical-relative:paragraph;z-index:15767552" id="docshape8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“Bitcoin: A Case Study,” ASU Law School: Blockchain and Cryptocurrency Law </w:t>
      </w:r>
      <w:r>
        <w:rPr>
          <w:color w:val="6E6158"/>
        </w:rPr>
        <w:t>and Policy, August 28, 2018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130948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0939pt;width:1.65pt;height:1.65pt;mso-position-horizontal-relative:page;mso-position-vertical-relative:paragraph;z-index:15768064" id="docshape83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“Course Overview,” ASU Law School: Blockchain and Cryptocurrency Law </w:t>
      </w:r>
      <w:r>
        <w:rPr>
          <w:color w:val="6E6158"/>
        </w:rPr>
        <w:t>and Policy, August 21, 2018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143278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787pt;width:1.65pt;height:1.65pt;mso-position-horizontal-relative:page;mso-position-vertical-relative:paragraph;z-index:15768576" id="docshape8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Implications of Blockchain Technology,” Maricopa Country Bar </w:t>
      </w:r>
      <w:r>
        <w:rPr>
          <w:color w:val="6E6158"/>
        </w:rPr>
        <w:t>Association, June 1, 2018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137741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76pt;width:1.65pt;height:1.65pt;mso-position-horizontal-relative:page;mso-position-vertical-relative:paragraph;z-index:15769088" id="docshape85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“Blockchain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Cryptocurrencies,”</w:t>
      </w:r>
      <w:r>
        <w:rPr>
          <w:color w:val="6E6158"/>
          <w:spacing w:val="12"/>
        </w:rPr>
        <w:t> </w:t>
      </w:r>
      <w:r>
        <w:rPr>
          <w:color w:val="6E6158"/>
        </w:rPr>
        <w:t>Finemark</w:t>
      </w:r>
      <w:r>
        <w:rPr>
          <w:color w:val="6E6158"/>
          <w:spacing w:val="12"/>
        </w:rPr>
        <w:t> </w:t>
      </w:r>
      <w:r>
        <w:rPr>
          <w:color w:val="6E6158"/>
        </w:rPr>
        <w:t>National</w:t>
      </w:r>
      <w:r>
        <w:rPr>
          <w:color w:val="6E6158"/>
          <w:spacing w:val="12"/>
        </w:rPr>
        <w:t> </w:t>
      </w:r>
      <w:r>
        <w:rPr>
          <w:color w:val="6E6158"/>
        </w:rPr>
        <w:t>Bank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2"/>
        </w:rPr>
        <w:t> </w:t>
      </w:r>
      <w:r>
        <w:rPr>
          <w:color w:val="6E6158"/>
        </w:rPr>
        <w:t>Trust,</w:t>
      </w:r>
      <w:r>
        <w:rPr>
          <w:color w:val="6E6158"/>
          <w:spacing w:val="12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15,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right="5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152838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537pt;width:1.65pt;height:1.65pt;mso-position-horizontal-relative:page;mso-position-vertical-relative:paragraph;z-index:15769600" id="docshape8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416371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160pt;width:1.65pt;height:1.65pt;mso-position-horizontal-relative:page;mso-position-vertical-relative:paragraph;z-index:15770112" id="docshape8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</w:t>
      </w:r>
      <w:r>
        <w:rPr>
          <w:color w:val="6E6158"/>
        </w:rPr>
        <w:t>Association Member, State Bar of Arizona</w:t>
      </w:r>
    </w:p>
    <w:p>
      <w:pPr>
        <w:pStyle w:val="BodyText"/>
        <w:spacing w:line="420" w:lineRule="auto" w:before="0"/>
        <w:ind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54776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3081pt;width:1.65pt;height:1.65pt;mso-position-horizontal-relative:page;mso-position-vertical-relative:paragraph;z-index:15770624" id="docshape88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313141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683pt;width:1.65pt;height:1.65pt;mso-position-horizontal-relative:page;mso-position-vertical-relative:paragraph;z-index:15771136" id="docshape89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Sandra Day O’Connor College of Law, Arizona State </w:t>
      </w:r>
      <w:r>
        <w:rPr>
          <w:color w:val="6E6158"/>
        </w:rPr>
        <w:t>University Member, Advisory Board, The Legal Tech Fund Summit</w:t>
      </w:r>
    </w:p>
    <w:p>
      <w:pPr>
        <w:pStyle w:val="BodyText"/>
        <w:spacing w:line="422" w:lineRule="auto" w:before="0"/>
        <w:ind w:right="5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53766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3612pt;width:1.65pt;height:1.65pt;mso-position-horizontal-relative:page;mso-position-vertical-relative:paragraph;z-index:15771648" id="docshape90" coordorigin="1675,85" coordsize="33,33" path="m1696,117l1687,117,1683,116,1676,109,1675,105,1675,96,1676,93,1683,86,1687,85,1696,85,1699,86,1706,93,1707,96,1707,101,1707,105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317299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4236pt;width:1.65pt;height:1.65pt;mso-position-horizontal-relative:page;mso-position-vertical-relative:paragraph;z-index:15772160" id="docshape91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575665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27984pt;width:1.65pt;height:1.65pt;mso-position-horizontal-relative:page;mso-position-vertical-relative:paragraph;z-index:15772672" id="docshape92" coordorigin="1675,907" coordsize="33,33" path="m1696,939l1687,939,1683,938,1676,931,1675,927,1675,918,1676,914,1683,908,1687,907,1696,907,1699,908,1706,914,1707,918,1707,923,1707,927,1706,931,1699,938,1696,9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Society of St. Vincent </w:t>
      </w:r>
      <w:r>
        <w:rPr>
          <w:color w:val="6E6158"/>
        </w:rPr>
        <w:t>DePaul Volunteer, St. Mary’s Food Bank Volunteer, Tempe Junior Crew</w:t>
      </w:r>
    </w:p>
    <w:p>
      <w:pPr>
        <w:pStyle w:val="BodyText"/>
        <w:spacing w:line="232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52982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71852pt;width:1.65pt;height:1.65pt;mso-position-horizontal-relative:page;mso-position-vertical-relative:paragraph;z-index:15773184" id="docshape93" coordorigin="1675,83" coordsize="33,33" path="m1696,116l1687,116,1683,114,1676,108,1675,104,1675,95,1676,91,1683,85,1687,83,1696,83,1699,85,1706,91,1707,95,1707,100,1707,104,1706,108,1699,114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2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Feeding</w:t>
      </w:r>
      <w:r>
        <w:rPr>
          <w:color w:val="6E6158"/>
          <w:spacing w:val="13"/>
        </w:rPr>
        <w:t> </w:t>
      </w:r>
      <w:r>
        <w:rPr>
          <w:color w:val="6E6158"/>
        </w:rPr>
        <w:t>Matters</w:t>
      </w:r>
      <w:r>
        <w:rPr>
          <w:color w:val="6E6158"/>
          <w:spacing w:val="12"/>
        </w:rPr>
        <w:t> </w:t>
      </w:r>
      <w:r>
        <w:rPr>
          <w:color w:val="6E6158"/>
        </w:rPr>
        <w:t>Professional</w:t>
      </w:r>
      <w:r>
        <w:rPr>
          <w:color w:val="6E6158"/>
          <w:spacing w:val="12"/>
        </w:rPr>
        <w:t> </w:t>
      </w:r>
      <w:r>
        <w:rPr>
          <w:color w:val="6E6158"/>
        </w:rPr>
        <w:t>Advisory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Board</w:t>
      </w:r>
    </w:p>
    <w:p>
      <w:pPr>
        <w:pStyle w:val="BodyText"/>
        <w:spacing w:before="17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169373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36528pt;width:1.65pt;height:1.65pt;mso-position-horizontal-relative:page;mso-position-vertical-relative:paragraph;z-index:15773696" id="docshape94" coordorigin="1675,267" coordsize="33,33" path="m1696,299l1687,299,1683,298,1676,291,1675,287,1675,279,1676,275,1683,268,1687,267,1696,267,1699,268,1706,275,1707,279,1707,283,1707,287,1706,291,1699,298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9"/>
        </w:rPr>
        <w:t> </w:t>
      </w:r>
      <w:r>
        <w:rPr>
          <w:color w:val="6E6158"/>
        </w:rPr>
        <w:t>St.</w:t>
      </w:r>
      <w:r>
        <w:rPr>
          <w:color w:val="6E6158"/>
          <w:spacing w:val="9"/>
        </w:rPr>
        <w:t> </w:t>
      </w:r>
      <w:r>
        <w:rPr>
          <w:color w:val="6E6158"/>
        </w:rPr>
        <w:t>Francis</w:t>
      </w:r>
      <w:r>
        <w:rPr>
          <w:color w:val="6E6158"/>
          <w:spacing w:val="9"/>
        </w:rPr>
        <w:t> </w:t>
      </w:r>
      <w:r>
        <w:rPr>
          <w:color w:val="6E6158"/>
        </w:rPr>
        <w:t>Xavier</w:t>
      </w:r>
      <w:r>
        <w:rPr>
          <w:color w:val="6E6158"/>
          <w:spacing w:val="9"/>
        </w:rPr>
        <w:t> </w:t>
      </w:r>
      <w:r>
        <w:rPr>
          <w:color w:val="6E6158"/>
        </w:rPr>
        <w:t>Athletic</w:t>
      </w:r>
      <w:r>
        <w:rPr>
          <w:color w:val="6E6158"/>
          <w:spacing w:val="9"/>
        </w:rPr>
        <w:t> </w:t>
      </w:r>
      <w:r>
        <w:rPr>
          <w:color w:val="6E6158"/>
        </w:rPr>
        <w:t>Association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St.</w:t>
      </w:r>
      <w:r>
        <w:rPr>
          <w:color w:val="6E6158"/>
          <w:spacing w:val="9"/>
        </w:rPr>
        <w:t> </w:t>
      </w:r>
      <w:r>
        <w:rPr>
          <w:color w:val="6E6158"/>
        </w:rPr>
        <w:t>Francis</w:t>
      </w:r>
      <w:r>
        <w:rPr>
          <w:color w:val="6E6158"/>
          <w:spacing w:val="9"/>
        </w:rPr>
        <w:t> </w:t>
      </w:r>
      <w:r>
        <w:rPr>
          <w:color w:val="6E6158"/>
        </w:rPr>
        <w:t>Xavier</w:t>
      </w:r>
      <w:r>
        <w:rPr>
          <w:color w:val="6E6158"/>
          <w:spacing w:val="10"/>
        </w:rPr>
        <w:t> </w:t>
      </w:r>
      <w:r>
        <w:rPr>
          <w:color w:val="6E6158"/>
        </w:rPr>
        <w:t>Grade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152597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539pt;width:1.65pt;height:1.65pt;mso-position-horizontal-relative:page;mso-position-vertical-relative:paragraph;z-index:15774208" id="docshape9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410962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287pt;width:1.65pt;height:1.65pt;mso-position-horizontal-relative:page;mso-position-vertical-relative:paragraph;z-index:15774720" id="docshape96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Massachusetts</w:t>
      </w:r>
    </w:p>
    <w:p>
      <w:pPr>
        <w:pStyle w:val="BodyText"/>
        <w:spacing w:line="231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58243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6070pt;width:1.65pt;height:1.65pt;mso-position-horizontal-relative:page;mso-position-vertical-relative:paragraph;z-index:15775232" id="docshape97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650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mccarville@fennemorelaw.com" TargetMode="External"/><Relationship Id="rId11" Type="http://schemas.openxmlformats.org/officeDocument/2006/relationships/hyperlink" Target="https://www.youtube.com/watch?v=eI9tAyKuJOk" TargetMode="External"/><Relationship Id="rId12" Type="http://schemas.openxmlformats.org/officeDocument/2006/relationships/hyperlink" Target="https://www.fennemorelaw.com/insights/blogs/2021/at-the-center-of-a-paradigm-shift" TargetMode="External"/><Relationship Id="rId13" Type="http://schemas.openxmlformats.org/officeDocument/2006/relationships/hyperlink" Target="https://www.fennemorelaw.com/insights/newsletters/2020/hospitals-required-to-provide-patients-with-transparent-pricin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2025-01-02T06:51:16Z</dcterms:created>
  <dcterms:modified xsi:type="dcterms:W3CDTF">2025-01-02T06:51:16Z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