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12579" y="763308"/>
                            <a:ext cx="10877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DAVID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WERNER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99508" y="2763906"/>
                            <a:ext cx="15138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dwerner@fennemorelaw.com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615269" y="4019563"/>
                            <a:ext cx="285242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down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anybody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unless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helping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up.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Jesse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Jackson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33032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DAVID</w:t>
                              </w:r>
                              <w:r>
                                <w:rPr>
                                  <w:b/>
                                  <w:color w:val="FF8100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WERNER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60;top:1762;width:1713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DAVID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WERNER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324;top:4912;width:2384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dwerner@fennemorelaw.com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884;top:6890;width:4492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look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down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anybody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unless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helping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up.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Jesse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Jackson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095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DAVID</w:t>
                        </w:r>
                        <w:r>
                          <w:rPr>
                            <w:b/>
                            <w:color w:val="FF8100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D.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WERNER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295" w:lineRule="auto"/>
        <w:ind w:left="104" w:right="336"/>
      </w:pPr>
      <w:r>
        <w:rPr>
          <w:color w:val="6E6158"/>
        </w:rPr>
        <w:t>David Werner is a director in our San Bernardino office who has more than 25 years of civil</w:t>
      </w:r>
      <w:r>
        <w:rPr>
          <w:color w:val="6E6158"/>
          <w:spacing w:val="40"/>
        </w:rPr>
        <w:t> </w:t>
      </w:r>
      <w:r>
        <w:rPr>
          <w:color w:val="6E6158"/>
        </w:rPr>
        <w:t>litigation experience and focuses his practice primarily on matters involving business and real</w:t>
      </w:r>
      <w:r>
        <w:rPr>
          <w:color w:val="6E6158"/>
          <w:spacing w:val="40"/>
        </w:rPr>
        <w:t> </w:t>
      </w:r>
      <w:r>
        <w:rPr>
          <w:color w:val="6E6158"/>
        </w:rPr>
        <w:t>estate disputes, business torts, contracts, healthcare coverage, and probate, estate, and </w:t>
      </w:r>
      <w:r>
        <w:rPr>
          <w:color w:val="6E6158"/>
        </w:rPr>
        <w:t>trust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line="297" w:lineRule="auto" w:before="197"/>
        <w:ind w:left="104" w:right="336"/>
      </w:pPr>
      <w:r>
        <w:rPr>
          <w:color w:val="6E6158"/>
        </w:rPr>
        <w:t>As a probate, estate, and trust litigator, he has a unique understanding of the various and complex facets of probate and trust law, as well as other related areas of the law, such as</w:t>
      </w:r>
      <w:r>
        <w:rPr>
          <w:color w:val="6E6158"/>
          <w:spacing w:val="40"/>
        </w:rPr>
        <w:t> </w:t>
      </w:r>
      <w:r>
        <w:rPr>
          <w:color w:val="6E6158"/>
        </w:rPr>
        <w:t>financial</w:t>
      </w:r>
      <w:r>
        <w:rPr>
          <w:color w:val="6E6158"/>
          <w:spacing w:val="21"/>
        </w:rPr>
        <w:t> </w:t>
      </w:r>
      <w:r>
        <w:rPr>
          <w:color w:val="6E6158"/>
        </w:rPr>
        <w:t>elder</w:t>
      </w:r>
      <w:r>
        <w:rPr>
          <w:color w:val="6E6158"/>
          <w:spacing w:val="21"/>
        </w:rPr>
        <w:t> </w:t>
      </w:r>
      <w:r>
        <w:rPr>
          <w:color w:val="6E6158"/>
        </w:rPr>
        <w:t>abuse.</w:t>
      </w:r>
      <w:r>
        <w:rPr>
          <w:color w:val="6E6158"/>
          <w:spacing w:val="21"/>
        </w:rPr>
        <w:t> </w:t>
      </w:r>
      <w:r>
        <w:rPr>
          <w:color w:val="6E6158"/>
        </w:rPr>
        <w:t>David</w:t>
      </w:r>
      <w:r>
        <w:rPr>
          <w:color w:val="6E6158"/>
          <w:spacing w:val="21"/>
        </w:rPr>
        <w:t> </w:t>
      </w:r>
      <w:r>
        <w:rPr>
          <w:color w:val="6E6158"/>
        </w:rPr>
        <w:t>has</w:t>
      </w:r>
      <w:r>
        <w:rPr>
          <w:color w:val="6E6158"/>
          <w:spacing w:val="21"/>
        </w:rPr>
        <w:t> </w:t>
      </w:r>
      <w:r>
        <w:rPr>
          <w:color w:val="6E6158"/>
        </w:rPr>
        <w:t>briefed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argued</w:t>
      </w:r>
      <w:r>
        <w:rPr>
          <w:color w:val="6E6158"/>
          <w:spacing w:val="21"/>
        </w:rPr>
        <w:t> </w:t>
      </w:r>
      <w:r>
        <w:rPr>
          <w:color w:val="6E6158"/>
        </w:rPr>
        <w:t>cases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California</w:t>
      </w:r>
      <w:r>
        <w:rPr>
          <w:color w:val="6E6158"/>
          <w:spacing w:val="21"/>
        </w:rPr>
        <w:t> </w:t>
      </w:r>
      <w:r>
        <w:rPr>
          <w:color w:val="6E6158"/>
        </w:rPr>
        <w:t>Court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/>
        <w:ind w:left="104" w:right="336"/>
      </w:pPr>
      <w:r>
        <w:rPr>
          <w:color w:val="6E6158"/>
        </w:rPr>
        <w:t>Appeal for Districts Two, Four, and Five. He also briefed and successfully argued a case that was</w:t>
      </w:r>
      <w:r>
        <w:rPr>
          <w:color w:val="6E6158"/>
          <w:spacing w:val="40"/>
        </w:rPr>
        <w:t> </w:t>
      </w:r>
      <w:r>
        <w:rPr>
          <w:color w:val="6E6158"/>
        </w:rPr>
        <w:t>accepted for review by the California Supreme Court.</w:t>
      </w:r>
    </w:p>
    <w:p>
      <w:pPr>
        <w:pStyle w:val="BodyText"/>
        <w:spacing w:line="292" w:lineRule="auto" w:before="200"/>
        <w:ind w:left="104" w:right="336"/>
      </w:pPr>
      <w:r>
        <w:rPr>
          <w:color w:val="6E6158"/>
        </w:rPr>
        <w:t>In addition to practicing law, David is a member of several local professional organizations and</w:t>
      </w:r>
      <w:r>
        <w:rPr>
          <w:color w:val="6E6158"/>
          <w:spacing w:val="40"/>
        </w:rPr>
        <w:t> </w:t>
      </w:r>
      <w:r>
        <w:rPr>
          <w:color w:val="6E6158"/>
        </w:rPr>
        <w:t>supports multiple community and philanthropic organizations. Previously, he brought his </w:t>
      </w:r>
      <w:r>
        <w:rPr>
          <w:color w:val="6E6158"/>
        </w:rPr>
        <w:t>interest</w:t>
      </w:r>
      <w:r>
        <w:rPr>
          <w:color w:val="6E6158"/>
          <w:spacing w:val="40"/>
        </w:rPr>
        <w:t> </w:t>
      </w:r>
      <w:r>
        <w:rPr>
          <w:color w:val="6E6158"/>
        </w:rPr>
        <w:t>and expertise in elder law to Plymouth Tower, a senior residence facility, where he served as board president of its foundation.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858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Whittier</w:t>
      </w:r>
      <w:r>
        <w:rPr>
          <w:color w:val="6E6158"/>
          <w:spacing w:val="8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168336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866pt;width:1.65pt;height:1.65pt;mso-position-horizontal-relative:page;mso-position-vertical-relative:paragraph;z-index:15729664" id="docshape1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B.B.A.,</w:t>
      </w:r>
      <w:r>
        <w:rPr>
          <w:color w:val="6E6158"/>
          <w:spacing w:val="12"/>
        </w:rPr>
        <w:t> </w:t>
      </w:r>
      <w:r>
        <w:rPr>
          <w:color w:val="6E6158"/>
        </w:rPr>
        <w:t>Pacific</w:t>
      </w:r>
      <w:r>
        <w:rPr>
          <w:color w:val="6E6158"/>
          <w:spacing w:val="12"/>
        </w:rPr>
        <w:t> </w:t>
      </w:r>
      <w:r>
        <w:rPr>
          <w:color w:val="6E6158"/>
        </w:rPr>
        <w:t>Union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877pt;width:1.65pt;height:1.65pt;mso-position-horizontal-relative:page;mso-position-vertical-relative:paragraph;z-index:15730176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74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1200" id="docshape18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46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73pt;width:1.65pt;height:1.65pt;mso-position-horizontal-relative:page;mso-position-vertical-relative:paragraph;z-index:15731712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Wilson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Parker,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Covert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&amp;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Chidester,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28 Cal.4th 811 (2002)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168354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28pt;width:1.65pt;height:1.65pt;mso-position-horizontal-relative:page;mso-position-vertical-relative:paragraph;z-index:15732224" id="docshape20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Rivas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Safety-Kleen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Corp</w:t>
      </w:r>
      <w:r>
        <w:rPr>
          <w:color w:val="6E6158"/>
          <w:sz w:val="19"/>
        </w:rPr>
        <w:t>.,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98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Cal.App.4th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218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(2002)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168773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9288pt;width:1.65pt;height:1.65pt;mso-position-horizontal-relative:page;mso-position-vertical-relative:paragraph;z-index:15732736" id="docshape21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Ghazarian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Wheeler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177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F.R.D.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482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(C.D.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1997)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4"/>
        <w:ind w:left="356" w:right="5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157634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137pt;width:1.65pt;height:1.65pt;mso-position-horizontal-relative:page;mso-position-vertical-relative:paragraph;z-index:15733248" id="docshape2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415999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886pt;width:1.65pt;height:1.65pt;mso-position-horizontal-relative:page;mso-position-vertical-relative:paragraph;z-index:15733760" id="docshape2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</w:t>
      </w:r>
      <w:r>
        <w:rPr>
          <w:color w:val="6E6158"/>
        </w:rPr>
        <w:t>California Member, State Bar of Oregon</w:t>
      </w:r>
    </w:p>
    <w:p>
      <w:pPr>
        <w:pStyle w:val="BodyText"/>
        <w:spacing w:line="420" w:lineRule="auto"/>
        <w:ind w:left="356" w:righ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58834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668pt;width:1.65pt;height:1.65pt;mso-position-horizontal-relative:page;mso-position-vertical-relative:paragraph;z-index:15734272" id="docshape24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317200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6418pt;width:1.65pt;height:1.65pt;mso-position-horizontal-relative:page;mso-position-vertical-relative:paragraph;z-index:15734784" id="docshape25" coordorigin="1675,500" coordsize="33,33" path="m1696,532l1687,532,1683,530,1676,524,1675,520,1675,511,1676,507,1683,501,1687,500,1696,500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Riverside County Bar Association, Chair, Civil Litigation Section, 2008-</w:t>
      </w:r>
      <w:r>
        <w:rPr>
          <w:color w:val="6E6158"/>
        </w:rPr>
        <w:t>2010 Attorney Master, Leo A. Deegan Inn of Court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62992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0073pt;width:1.65pt;height:1.65pt;mso-position-horizontal-relative:page;mso-position-vertical-relative:paragraph;z-index:15735296" id="docshape26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Trustee,</w:t>
      </w:r>
      <w:r>
        <w:rPr>
          <w:color w:val="6E6158"/>
          <w:spacing w:val="11"/>
        </w:rPr>
        <w:t> </w:t>
      </w:r>
      <w:r>
        <w:rPr>
          <w:color w:val="6E6158"/>
        </w:rPr>
        <w:t>Riverside</w:t>
      </w:r>
      <w:r>
        <w:rPr>
          <w:color w:val="6E6158"/>
          <w:spacing w:val="11"/>
        </w:rPr>
        <w:t> </w:t>
      </w:r>
      <w:r>
        <w:rPr>
          <w:color w:val="6E6158"/>
        </w:rPr>
        <w:t>City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Library</w:t>
      </w:r>
    </w:p>
    <w:p>
      <w:pPr>
        <w:pStyle w:val="BodyText"/>
        <w:spacing w:line="420" w:lineRule="auto" w:before="174"/>
        <w:ind w:left="356" w:right="43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170257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117pt;width:1.65pt;height:1.65pt;mso-position-horizontal-relative:page;mso-position-vertical-relative:paragraph;z-index:15735808" id="docshape2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428623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9866pt;width:1.65pt;height:1.65pt;mso-position-horizontal-relative:page;mso-position-vertical-relative:paragraph;z-index:15736320" id="docshape28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Riverside City Library Foundation Planning</w:t>
      </w:r>
      <w:r>
        <w:rPr>
          <w:color w:val="6E6158"/>
          <w:spacing w:val="9"/>
        </w:rPr>
        <w:t> </w:t>
      </w:r>
      <w:r>
        <w:rPr>
          <w:color w:val="6E6158"/>
        </w:rPr>
        <w:t>Commissioner,</w:t>
      </w:r>
      <w:r>
        <w:rPr>
          <w:color w:val="6E6158"/>
          <w:spacing w:val="10"/>
        </w:rPr>
        <w:t> </w:t>
      </w:r>
      <w:r>
        <w:rPr>
          <w:color w:val="6E6158"/>
        </w:rPr>
        <w:t>City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Loma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Linda</w:t>
      </w:r>
    </w:p>
    <w:p>
      <w:pPr>
        <w:pStyle w:val="BodyText"/>
        <w:spacing w:line="427" w:lineRule="auto"/>
        <w:ind w:left="356" w:righ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58758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6648pt;width:1.65pt;height:1.65pt;mso-position-horizontal-relative:page;mso-position-vertical-relative:paragraph;z-index:15736832" id="docshape29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322291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7272pt;width:1.65pt;height:1.65pt;mso-position-horizontal-relative:page;mso-position-vertical-relative:paragraph;z-index:15737344" id="docshape30" coordorigin="1675,508" coordsize="33,33" path="m1696,540l1687,540,1683,539,1676,532,1675,528,1675,519,1676,515,1683,509,1687,508,1696,508,1699,509,1706,515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 Member, Loma Linda University Church Building Fund </w:t>
      </w:r>
      <w:r>
        <w:rPr>
          <w:color w:val="6E6158"/>
        </w:rPr>
        <w:t>Committee Member, Parkview Community Hospital Foundation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54040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5192pt;width:1.65pt;height:1.65pt;mso-position-horizontal-relative:page;mso-position-vertical-relative:paragraph;z-index:15737856" id="docshape31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Plymouth</w:t>
      </w:r>
      <w:r>
        <w:rPr>
          <w:color w:val="6E6158"/>
          <w:spacing w:val="9"/>
        </w:rPr>
        <w:t> </w:t>
      </w:r>
      <w:r>
        <w:rPr>
          <w:color w:val="6E6158"/>
        </w:rPr>
        <w:t>Tower</w:t>
      </w:r>
      <w:r>
        <w:rPr>
          <w:color w:val="6E6158"/>
          <w:spacing w:val="9"/>
        </w:rPr>
        <w:t> </w:t>
      </w:r>
      <w:r>
        <w:rPr>
          <w:color w:val="6E6158"/>
        </w:rPr>
        <w:t>Senior</w:t>
      </w:r>
      <w:r>
        <w:rPr>
          <w:color w:val="6E6158"/>
          <w:spacing w:val="9"/>
        </w:rPr>
        <w:t> </w:t>
      </w:r>
      <w:r>
        <w:rPr>
          <w:color w:val="6E6158"/>
        </w:rPr>
        <w:t>Residence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Foundation,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169198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22705pt;width:1.65pt;height:1.65pt;mso-position-horizontal-relative:page;mso-position-vertical-relative:paragraph;z-index:15738368" id="docshape32" coordorigin="1675,266" coordsize="33,33" path="m1696,299l1687,299,1683,297,1676,291,1675,287,1675,278,1676,274,1683,268,1687,266,1696,266,1699,268,1706,274,1707,278,1707,283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Unforgettables</w:t>
      </w:r>
      <w:r>
        <w:rPr>
          <w:color w:val="6E6158"/>
          <w:spacing w:val="14"/>
        </w:rPr>
        <w:t> </w:t>
      </w:r>
      <w:r>
        <w:rPr>
          <w:color w:val="6E6158"/>
        </w:rPr>
        <w:t>Foundation,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Chair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4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2012</w:t>
      </w:r>
    </w:p>
    <w:p>
      <w:pPr>
        <w:pStyle w:val="BodyText"/>
        <w:spacing w:line="302" w:lineRule="auto" w:before="174"/>
        <w:ind w:left="356" w:right="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169783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75pt;width:1.65pt;height:1.65pt;mso-position-horizontal-relative:page;mso-position-vertical-relative:paragraph;z-index:15738880" id="docshape3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Board Member and Revenue Committee Member, Big Brothers Big Sisters of the Inland Empire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152446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639pt;width:1.65pt;height:1.65pt;mso-position-horizontal-relative:page;mso-position-vertical-relative:paragraph;z-index:15739392" id="docshape3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Jurisprudence</w:t>
      </w:r>
      <w:r>
        <w:rPr>
          <w:color w:val="6E6158"/>
          <w:spacing w:val="15"/>
        </w:rPr>
        <w:t> </w:t>
      </w:r>
      <w:r>
        <w:rPr>
          <w:color w:val="6E6158"/>
        </w:rPr>
        <w:t>Award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Recipient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left="356" w:right="74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152814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652pt;width:1.65pt;height:1.65pt;mso-position-horizontal-relative:page;mso-position-vertical-relative:paragraph;z-index:15739904" id="docshape3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416347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276pt;width:1.65pt;height:1.65pt;mso-position-horizontal-relative:page;mso-position-vertical-relative:paragraph;z-index:15740416" id="docshape3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Oregon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54752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1195pt;width:1.65pt;height:1.65pt;mso-position-horizontal-relative:page;mso-position-vertical-relative:paragraph;z-index:15740928" id="docshape37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dwern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2025-01-02T06:39:13Z</dcterms:created>
  <dcterms:modified xsi:type="dcterms:W3CDTF">2025-01-02T06:39:13Z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