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0899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031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03140"/>
                          <a:chExt cx="6066790" cy="48031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08793" y="763308"/>
                            <a:ext cx="149479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DAVID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SIECK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Employment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Labor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602.916.5334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49970" y="2490038"/>
                            <a:ext cx="14128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dsieck@fennemorelaw.com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66853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66188" y="3745695"/>
                            <a:ext cx="335026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choose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Moon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decade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things,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because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easy,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because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hard.</w:t>
                              </w:r>
                            </w:p>
                            <w:p>
                              <w:pPr>
                                <w:spacing w:before="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John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Kennedy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66853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8.2pt;mso-position-horizontal-relative:page;mso-position-vertical-relative:page;z-index:-15807488" id="docshapegroup1" coordorigin="1341,560" coordsize="9554,7564">
                <v:rect style="position:absolute;left:1341;top:5523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39;top:1762;width:2354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DAVID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SIECK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Employment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Labor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602.916.5334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7404;top:4481;width:2225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dsieck@fennemorelaw.com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37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92;top:6458;width:5276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choose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Moon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decade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other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things,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 </w:t>
                        </w:r>
                        <w:r>
                          <w:rPr>
                            <w:color w:val="FFFFFF"/>
                            <w:sz w:val="16"/>
                          </w:rPr>
                          <w:t>because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easy,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because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hard.</w:t>
                        </w:r>
                      </w:p>
                      <w:p>
                        <w:pPr>
                          <w:spacing w:before="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John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Kennedy</w:t>
                        </w:r>
                      </w:p>
                    </w:txbxContent>
                  </v:textbox>
                  <w10:wrap type="none"/>
                </v:shape>
                <v:shape style="position:absolute;left:8986;top:6337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56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DAVID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SIECK</w:t>
      </w:r>
    </w:p>
    <w:p>
      <w:pPr>
        <w:pStyle w:val="BodyText"/>
        <w:spacing w:line="302" w:lineRule="auto" w:before="146"/>
        <w:ind w:left="104" w:right="183"/>
      </w:pPr>
      <w:r>
        <w:rPr>
          <w:color w:val="6E6158"/>
        </w:rPr>
        <w:t>David Sieck is an Associate attorney in our firm’s Employment &amp; Labor practice group who works</w:t>
      </w:r>
      <w:r>
        <w:rPr>
          <w:color w:val="6E6158"/>
          <w:spacing w:val="40"/>
        </w:rPr>
        <w:t> </w:t>
      </w:r>
      <w:r>
        <w:rPr>
          <w:color w:val="6E6158"/>
        </w:rPr>
        <w:t>out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Phoenix</w:t>
      </w:r>
      <w:r>
        <w:rPr>
          <w:color w:val="6E6158"/>
          <w:spacing w:val="27"/>
        </w:rPr>
        <w:t> </w:t>
      </w:r>
      <w:r>
        <w:rPr>
          <w:color w:val="6E6158"/>
        </w:rPr>
        <w:t>office.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practice</w:t>
      </w:r>
      <w:r>
        <w:rPr>
          <w:color w:val="6E6158"/>
          <w:spacing w:val="27"/>
        </w:rPr>
        <w:t> </w:t>
      </w:r>
      <w:r>
        <w:rPr>
          <w:color w:val="6E6158"/>
        </w:rPr>
        <w:t>focuses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providing</w:t>
      </w:r>
      <w:r>
        <w:rPr>
          <w:color w:val="6E6158"/>
          <w:spacing w:val="27"/>
        </w:rPr>
        <w:t> </w:t>
      </w:r>
      <w:r>
        <w:rPr>
          <w:color w:val="6E6158"/>
        </w:rPr>
        <w:t>legal</w:t>
      </w:r>
      <w:r>
        <w:rPr>
          <w:color w:val="6E6158"/>
          <w:spacing w:val="27"/>
        </w:rPr>
        <w:t> </w:t>
      </w:r>
      <w:r>
        <w:rPr>
          <w:color w:val="6E6158"/>
        </w:rPr>
        <w:t>services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numerous</w:t>
      </w:r>
      <w:r>
        <w:rPr>
          <w:color w:val="6E6158"/>
          <w:spacing w:val="27"/>
        </w:rPr>
        <w:t> </w:t>
      </w:r>
      <w:r>
        <w:rPr>
          <w:color w:val="6E6158"/>
        </w:rPr>
        <w:t>joint</w:t>
      </w:r>
    </w:p>
    <w:p>
      <w:pPr>
        <w:pStyle w:val="BodyText"/>
        <w:spacing w:line="292" w:lineRule="auto"/>
        <w:ind w:left="104" w:right="183"/>
      </w:pPr>
      <w:r>
        <w:rPr>
          <w:color w:val="6E6158"/>
        </w:rPr>
        <w:t>labor-management trust funds’ employee benefit plans and their fiduciaries, </w:t>
      </w:r>
      <w:r>
        <w:rPr>
          <w:color w:val="6E6158"/>
        </w:rPr>
        <w:t>including consultation, collection, and litigation services.</w:t>
      </w:r>
    </w:p>
    <w:p>
      <w:pPr>
        <w:pStyle w:val="BodyText"/>
        <w:spacing w:line="292" w:lineRule="auto" w:before="196"/>
        <w:ind w:left="104" w:right="183"/>
      </w:pPr>
      <w:r>
        <w:rPr>
          <w:color w:val="6E6158"/>
        </w:rPr>
        <w:t>Prior to joining Fennemore, David represented a number of pension (including 401(k) plans),</w:t>
      </w:r>
      <w:r>
        <w:rPr>
          <w:color w:val="6E6158"/>
          <w:spacing w:val="80"/>
        </w:rPr>
        <w:t> </w:t>
      </w:r>
      <w:r>
        <w:rPr>
          <w:color w:val="6E6158"/>
        </w:rPr>
        <w:t>health and welfare plans, and apprenticeship plans. He works in-depth with the provisions of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Employee</w:t>
      </w:r>
      <w:r>
        <w:rPr>
          <w:color w:val="6E6158"/>
          <w:spacing w:val="33"/>
        </w:rPr>
        <w:t> </w:t>
      </w:r>
      <w:r>
        <w:rPr>
          <w:color w:val="6E6158"/>
        </w:rPr>
        <w:t>Retirement</w:t>
      </w:r>
      <w:r>
        <w:rPr>
          <w:color w:val="6E6158"/>
          <w:spacing w:val="33"/>
        </w:rPr>
        <w:t> </w:t>
      </w:r>
      <w:r>
        <w:rPr>
          <w:color w:val="6E6158"/>
        </w:rPr>
        <w:t>Income</w:t>
      </w:r>
      <w:r>
        <w:rPr>
          <w:color w:val="6E6158"/>
          <w:spacing w:val="33"/>
        </w:rPr>
        <w:t> </w:t>
      </w:r>
      <w:r>
        <w:rPr>
          <w:color w:val="6E6158"/>
        </w:rPr>
        <w:t>Security</w:t>
      </w:r>
      <w:r>
        <w:rPr>
          <w:color w:val="6E6158"/>
          <w:spacing w:val="33"/>
        </w:rPr>
        <w:t> </w:t>
      </w:r>
      <w:r>
        <w:rPr>
          <w:color w:val="6E6158"/>
        </w:rPr>
        <w:t>Act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1974,</w:t>
      </w:r>
      <w:r>
        <w:rPr>
          <w:color w:val="6E6158"/>
          <w:spacing w:val="33"/>
        </w:rPr>
        <w:t> </w:t>
      </w:r>
      <w:r>
        <w:rPr>
          <w:color w:val="6E6158"/>
        </w:rPr>
        <w:t>as</w:t>
      </w:r>
      <w:r>
        <w:rPr>
          <w:color w:val="6E6158"/>
          <w:spacing w:val="33"/>
        </w:rPr>
        <w:t> </w:t>
      </w:r>
      <w:r>
        <w:rPr>
          <w:color w:val="6E6158"/>
        </w:rPr>
        <w:t>amended</w:t>
      </w:r>
      <w:r>
        <w:rPr>
          <w:color w:val="6E6158"/>
          <w:spacing w:val="33"/>
        </w:rPr>
        <w:t> </w:t>
      </w:r>
      <w:r>
        <w:rPr>
          <w:color w:val="6E6158"/>
        </w:rPr>
        <w:t>(ERISA),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Internal</w:t>
      </w:r>
      <w:r>
        <w:rPr>
          <w:color w:val="6E6158"/>
          <w:spacing w:val="33"/>
        </w:rPr>
        <w:t> </w:t>
      </w:r>
      <w:r>
        <w:rPr>
          <w:color w:val="6E6158"/>
        </w:rPr>
        <w:t>Revenue</w:t>
      </w:r>
    </w:p>
    <w:p>
      <w:pPr>
        <w:pStyle w:val="BodyText"/>
        <w:spacing w:before="1"/>
        <w:ind w:left="104"/>
      </w:pPr>
      <w:r>
        <w:rPr>
          <w:color w:val="6E6158"/>
        </w:rPr>
        <w:t>Code,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Taft-Hartley</w:t>
      </w:r>
      <w:r>
        <w:rPr>
          <w:color w:val="6E6158"/>
          <w:spacing w:val="13"/>
        </w:rPr>
        <w:t> </w:t>
      </w:r>
      <w:r>
        <w:rPr>
          <w:color w:val="6E6158"/>
        </w:rPr>
        <w:t>Act,</w:t>
      </w:r>
      <w:r>
        <w:rPr>
          <w:color w:val="6E6158"/>
          <w:spacing w:val="12"/>
        </w:rPr>
        <w:t> </w:t>
      </w:r>
      <w:r>
        <w:rPr>
          <w:color w:val="6E6158"/>
        </w:rPr>
        <w:t>relevant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statutes,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related</w:t>
      </w:r>
      <w:r>
        <w:rPr>
          <w:color w:val="6E6158"/>
          <w:spacing w:val="12"/>
        </w:rPr>
        <w:t> </w:t>
      </w:r>
      <w:r>
        <w:rPr>
          <w:color w:val="6E6158"/>
        </w:rPr>
        <w:t>administrative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regulations.</w:t>
      </w:r>
    </w:p>
    <w:p>
      <w:pPr>
        <w:pStyle w:val="BodyText"/>
        <w:spacing w:before="60"/>
        <w:ind w:left="104"/>
      </w:pPr>
      <w:r>
        <w:rPr>
          <w:color w:val="6E6158"/>
        </w:rPr>
        <w:t>David</w:t>
      </w:r>
      <w:r>
        <w:rPr>
          <w:color w:val="6E6158"/>
          <w:spacing w:val="12"/>
        </w:rPr>
        <w:t> </w:t>
      </w:r>
      <w:r>
        <w:rPr>
          <w:color w:val="6E6158"/>
        </w:rPr>
        <w:t>advises</w:t>
      </w:r>
      <w:r>
        <w:rPr>
          <w:color w:val="6E6158"/>
          <w:spacing w:val="12"/>
        </w:rPr>
        <w:t> </w:t>
      </w:r>
      <w:r>
        <w:rPr>
          <w:color w:val="6E6158"/>
        </w:rPr>
        <w:t>plan</w:t>
      </w:r>
      <w:r>
        <w:rPr>
          <w:color w:val="6E6158"/>
          <w:spacing w:val="13"/>
        </w:rPr>
        <w:t> </w:t>
      </w:r>
      <w:r>
        <w:rPr>
          <w:color w:val="6E6158"/>
        </w:rPr>
        <w:t>sponsors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fiduciaries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all</w:t>
      </w:r>
      <w:r>
        <w:rPr>
          <w:color w:val="6E6158"/>
          <w:spacing w:val="12"/>
        </w:rPr>
        <w:t> </w:t>
      </w:r>
      <w:r>
        <w:rPr>
          <w:color w:val="6E6158"/>
        </w:rPr>
        <w:t>aspects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plan</w:t>
      </w:r>
      <w:r>
        <w:rPr>
          <w:color w:val="6E6158"/>
          <w:spacing w:val="12"/>
        </w:rPr>
        <w:t> </w:t>
      </w:r>
      <w:r>
        <w:rPr>
          <w:color w:val="6E6158"/>
        </w:rPr>
        <w:t>governance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52"/>
        <w:ind w:left="104" w:right="183"/>
      </w:pPr>
      <w:r>
        <w:rPr>
          <w:color w:val="6E6158"/>
        </w:rPr>
        <w:t>administration, including governmental compliance, and</w:t>
      </w:r>
      <w:r>
        <w:rPr>
          <w:color w:val="6E6158"/>
          <w:spacing w:val="80"/>
        </w:rPr>
        <w:t> </w:t>
      </w:r>
      <w:r>
        <w:rPr>
          <w:color w:val="6E6158"/>
        </w:rPr>
        <w:t>has experience in both federal </w:t>
      </w:r>
      <w:r>
        <w:rPr>
          <w:color w:val="6E6158"/>
        </w:rPr>
        <w:t>and state courts.</w:t>
      </w:r>
    </w:p>
    <w:p>
      <w:pPr>
        <w:pStyle w:val="BodyText"/>
        <w:spacing w:line="295" w:lineRule="auto" w:before="197"/>
        <w:ind w:left="104" w:right="245"/>
      </w:pPr>
      <w:r>
        <w:rPr>
          <w:color w:val="6E6158"/>
        </w:rPr>
        <w:t>Born and raised in Spokane, Washington, David considers himself a counselor at law. He’s</w:t>
      </w:r>
      <w:r>
        <w:rPr>
          <w:color w:val="6E6158"/>
          <w:spacing w:val="40"/>
        </w:rPr>
        <w:t> </w:t>
      </w:r>
      <w:r>
        <w:rPr>
          <w:color w:val="6E6158"/>
        </w:rPr>
        <w:t>comfortable in a room with the labor trustees of the union on one side, and management</w:t>
      </w:r>
      <w:r>
        <w:rPr>
          <w:color w:val="6E6158"/>
          <w:spacing w:val="80"/>
        </w:rPr>
        <w:t> </w:t>
      </w:r>
      <w:r>
        <w:rPr>
          <w:color w:val="6E6158"/>
        </w:rPr>
        <w:t>trustees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other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he</w:t>
      </w:r>
      <w:r>
        <w:rPr>
          <w:color w:val="6E6158"/>
          <w:spacing w:val="10"/>
        </w:rPr>
        <w:t> </w:t>
      </w:r>
      <w:r>
        <w:rPr>
          <w:color w:val="6E6158"/>
        </w:rPr>
        <w:t>has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ability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understand,</w:t>
      </w:r>
      <w:r>
        <w:rPr>
          <w:color w:val="6E6158"/>
          <w:spacing w:val="10"/>
        </w:rPr>
        <w:t> </w:t>
      </w:r>
      <w:r>
        <w:rPr>
          <w:color w:val="6E6158"/>
        </w:rPr>
        <w:t>relate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speak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both</w:t>
      </w:r>
      <w:r>
        <w:rPr>
          <w:color w:val="6E6158"/>
          <w:spacing w:val="10"/>
        </w:rPr>
        <w:t> </w:t>
      </w:r>
      <w:r>
        <w:rPr>
          <w:color w:val="6E6158"/>
        </w:rPr>
        <w:t>sides</w:t>
      </w:r>
      <w:r>
        <w:rPr>
          <w:color w:val="6E6158"/>
          <w:spacing w:val="10"/>
        </w:rPr>
        <w:t> </w:t>
      </w:r>
      <w:r>
        <w:rPr>
          <w:color w:val="6E6158"/>
        </w:rPr>
        <w:t>in a</w:t>
      </w:r>
      <w:r>
        <w:rPr>
          <w:color w:val="6E6158"/>
          <w:spacing w:val="30"/>
        </w:rPr>
        <w:t> </w:t>
      </w:r>
      <w:r>
        <w:rPr>
          <w:color w:val="6E6158"/>
        </w:rPr>
        <w:t>meaningful</w:t>
      </w:r>
      <w:r>
        <w:rPr>
          <w:color w:val="6E6158"/>
          <w:spacing w:val="30"/>
        </w:rPr>
        <w:t> </w:t>
      </w:r>
      <w:r>
        <w:rPr>
          <w:color w:val="6E6158"/>
        </w:rPr>
        <w:t>way</w:t>
      </w:r>
      <w:r>
        <w:rPr>
          <w:color w:val="6E6158"/>
          <w:spacing w:val="30"/>
        </w:rPr>
        <w:t> </w:t>
      </w:r>
      <w:r>
        <w:rPr>
          <w:color w:val="6E6158"/>
        </w:rPr>
        <w:t>that</w:t>
      </w:r>
      <w:r>
        <w:rPr>
          <w:color w:val="6E6158"/>
          <w:spacing w:val="30"/>
        </w:rPr>
        <w:t> </w:t>
      </w:r>
      <w:r>
        <w:rPr>
          <w:color w:val="6E6158"/>
        </w:rPr>
        <w:t>solves</w:t>
      </w:r>
      <w:r>
        <w:rPr>
          <w:color w:val="6E6158"/>
          <w:spacing w:val="30"/>
        </w:rPr>
        <w:t> </w:t>
      </w:r>
      <w:r>
        <w:rPr>
          <w:color w:val="6E6158"/>
        </w:rPr>
        <w:t>problems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finds</w:t>
      </w:r>
      <w:r>
        <w:rPr>
          <w:color w:val="6E6158"/>
          <w:spacing w:val="30"/>
        </w:rPr>
        <w:t> </w:t>
      </w:r>
      <w:r>
        <w:rPr>
          <w:color w:val="6E6158"/>
        </w:rPr>
        <w:t>solutions.</w:t>
      </w:r>
      <w:r>
        <w:rPr>
          <w:color w:val="6E6158"/>
          <w:spacing w:val="30"/>
        </w:rPr>
        <w:t> </w:t>
      </w:r>
      <w:r>
        <w:rPr>
          <w:color w:val="6E6158"/>
        </w:rPr>
        <w:t>This</w:t>
      </w:r>
      <w:r>
        <w:rPr>
          <w:color w:val="6E6158"/>
          <w:spacing w:val="30"/>
        </w:rPr>
        <w:t> </w:t>
      </w:r>
      <w:r>
        <w:rPr>
          <w:color w:val="6E6158"/>
        </w:rPr>
        <w:t>passion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insurance,</w:t>
      </w:r>
    </w:p>
    <w:p>
      <w:pPr>
        <w:pStyle w:val="BodyText"/>
        <w:spacing w:line="297" w:lineRule="auto" w:before="1"/>
        <w:ind w:left="104"/>
      </w:pPr>
      <w:r>
        <w:rPr>
          <w:color w:val="6E6158"/>
        </w:rPr>
        <w:t>employment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labor</w:t>
      </w:r>
      <w:r>
        <w:rPr>
          <w:color w:val="6E6158"/>
          <w:spacing w:val="29"/>
        </w:rPr>
        <w:t> </w:t>
      </w:r>
      <w:r>
        <w:rPr>
          <w:color w:val="6E6158"/>
        </w:rPr>
        <w:t>law,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all</w:t>
      </w:r>
      <w:r>
        <w:rPr>
          <w:color w:val="6E6158"/>
          <w:spacing w:val="29"/>
        </w:rPr>
        <w:t> </w:t>
      </w:r>
      <w:r>
        <w:rPr>
          <w:color w:val="6E6158"/>
        </w:rPr>
        <w:t>things</w:t>
      </w:r>
      <w:r>
        <w:rPr>
          <w:color w:val="6E6158"/>
          <w:spacing w:val="29"/>
        </w:rPr>
        <w:t> </w:t>
      </w:r>
      <w:r>
        <w:rPr>
          <w:color w:val="6E6158"/>
        </w:rPr>
        <w:t>ERISA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Taft-Hartley-related</w:t>
      </w:r>
      <w:r>
        <w:rPr>
          <w:color w:val="6E6158"/>
          <w:spacing w:val="29"/>
        </w:rPr>
        <w:t> </w:t>
      </w:r>
      <w:r>
        <w:rPr>
          <w:color w:val="6E6158"/>
        </w:rPr>
        <w:t>serve</w:t>
      </w:r>
      <w:r>
        <w:rPr>
          <w:color w:val="6E6158"/>
          <w:spacing w:val="29"/>
        </w:rPr>
        <w:t> </w:t>
      </w:r>
      <w:r>
        <w:rPr>
          <w:color w:val="6E6158"/>
        </w:rPr>
        <w:t>David</w:t>
      </w:r>
      <w:r>
        <w:rPr>
          <w:color w:val="6E6158"/>
          <w:spacing w:val="29"/>
        </w:rPr>
        <w:t> </w:t>
      </w:r>
      <w:r>
        <w:rPr>
          <w:color w:val="6E6158"/>
        </w:rPr>
        <w:t>well,</w:t>
      </w:r>
      <w:r>
        <w:rPr>
          <w:color w:val="6E6158"/>
          <w:spacing w:val="29"/>
        </w:rPr>
        <w:t> </w:t>
      </w:r>
      <w:r>
        <w:rPr>
          <w:color w:val="6E6158"/>
        </w:rPr>
        <w:t>and he enjoys the mix of transactional and litigation work needed by his clients – with an eye towards</w:t>
      </w:r>
      <w:r>
        <w:rPr>
          <w:color w:val="6E6158"/>
          <w:spacing w:val="40"/>
        </w:rPr>
        <w:t> </w:t>
      </w:r>
      <w:r>
        <w:rPr>
          <w:color w:val="6E6158"/>
        </w:rPr>
        <w:t>constantly improving and learning more.</w:t>
      </w:r>
    </w:p>
    <w:p>
      <w:pPr>
        <w:pStyle w:val="BodyText"/>
        <w:spacing w:line="302" w:lineRule="auto" w:before="191"/>
        <w:ind w:left="104" w:right="297"/>
      </w:pPr>
      <w:r>
        <w:rPr>
          <w:color w:val="6E6158"/>
        </w:rPr>
        <w:t>Outside of work, you’d better be a warrior if you want to keep up with David. He’s a Triathlete</w:t>
      </w:r>
      <w:r>
        <w:rPr>
          <w:color w:val="6E6158"/>
          <w:spacing w:val="40"/>
        </w:rPr>
        <w:t> </w:t>
      </w:r>
      <w:r>
        <w:rPr>
          <w:color w:val="6E6158"/>
        </w:rPr>
        <w:t>who</w:t>
      </w:r>
      <w:r>
        <w:rPr>
          <w:color w:val="6E6158"/>
          <w:spacing w:val="13"/>
        </w:rPr>
        <w:t> </w:t>
      </w:r>
      <w:r>
        <w:rPr>
          <w:color w:val="6E6158"/>
        </w:rPr>
        <w:t>has</w:t>
      </w:r>
      <w:r>
        <w:rPr>
          <w:color w:val="6E6158"/>
          <w:spacing w:val="14"/>
        </w:rPr>
        <w:t> </w:t>
      </w:r>
      <w:r>
        <w:rPr>
          <w:color w:val="6E6158"/>
        </w:rPr>
        <w:t>completed</w:t>
      </w:r>
      <w:r>
        <w:rPr>
          <w:color w:val="6E6158"/>
          <w:spacing w:val="14"/>
        </w:rPr>
        <w:t> </w:t>
      </w:r>
      <w:r>
        <w:rPr>
          <w:color w:val="6E6158"/>
        </w:rPr>
        <w:t>several</w:t>
      </w:r>
      <w:r>
        <w:rPr>
          <w:color w:val="6E6158"/>
          <w:spacing w:val="14"/>
        </w:rPr>
        <w:t> </w:t>
      </w:r>
      <w:r>
        <w:rPr>
          <w:color w:val="6E6158"/>
        </w:rPr>
        <w:t>full-iron</w:t>
      </w:r>
      <w:r>
        <w:rPr>
          <w:color w:val="6E6158"/>
          <w:spacing w:val="14"/>
        </w:rPr>
        <w:t> </w:t>
      </w:r>
      <w:r>
        <w:rPr>
          <w:color w:val="6E6158"/>
        </w:rPr>
        <w:t>distance</w:t>
      </w:r>
      <w:r>
        <w:rPr>
          <w:color w:val="6E6158"/>
          <w:spacing w:val="14"/>
        </w:rPr>
        <w:t> </w:t>
      </w:r>
      <w:r>
        <w:rPr>
          <w:color w:val="6E6158"/>
        </w:rPr>
        <w:t>Triathlons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numerous</w:t>
      </w:r>
      <w:r>
        <w:rPr>
          <w:color w:val="6E6158"/>
          <w:spacing w:val="14"/>
        </w:rPr>
        <w:t> </w:t>
      </w:r>
      <w:r>
        <w:rPr>
          <w:color w:val="6E6158"/>
        </w:rPr>
        <w:t>half-iron</w:t>
      </w:r>
      <w:r>
        <w:rPr>
          <w:color w:val="6E6158"/>
          <w:spacing w:val="14"/>
        </w:rPr>
        <w:t> </w:t>
      </w:r>
      <w:r>
        <w:rPr>
          <w:color w:val="6E6158"/>
        </w:rPr>
        <w:t>distance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races,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he</w:t>
      </w:r>
      <w:r>
        <w:rPr>
          <w:color w:val="6E6158"/>
          <w:spacing w:val="9"/>
        </w:rPr>
        <w:t> </w:t>
      </w:r>
      <w:r>
        <w:rPr>
          <w:color w:val="6E6158"/>
        </w:rPr>
        <w:t>has</w:t>
      </w:r>
      <w:r>
        <w:rPr>
          <w:color w:val="6E6158"/>
          <w:spacing w:val="9"/>
        </w:rPr>
        <w:t> </w:t>
      </w:r>
      <w:r>
        <w:rPr>
          <w:color w:val="6E6158"/>
        </w:rPr>
        <w:t>his</w:t>
      </w:r>
      <w:r>
        <w:rPr>
          <w:color w:val="6E6158"/>
          <w:spacing w:val="9"/>
        </w:rPr>
        <w:t> </w:t>
      </w:r>
      <w:r>
        <w:rPr>
          <w:color w:val="6E6158"/>
        </w:rPr>
        <w:t>sights</w:t>
      </w:r>
      <w:r>
        <w:rPr>
          <w:color w:val="6E6158"/>
          <w:spacing w:val="9"/>
        </w:rPr>
        <w:t> </w:t>
      </w:r>
      <w:r>
        <w:rPr>
          <w:color w:val="6E6158"/>
        </w:rPr>
        <w:t>set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world’s</w:t>
      </w:r>
      <w:r>
        <w:rPr>
          <w:color w:val="6E6158"/>
          <w:spacing w:val="9"/>
        </w:rPr>
        <w:t> </w:t>
      </w:r>
      <w:r>
        <w:rPr>
          <w:color w:val="6E6158"/>
        </w:rPr>
        <w:t>most</w:t>
      </w:r>
      <w:r>
        <w:rPr>
          <w:color w:val="6E6158"/>
          <w:spacing w:val="9"/>
        </w:rPr>
        <w:t> </w:t>
      </w:r>
      <w:r>
        <w:rPr>
          <w:color w:val="6E6158"/>
        </w:rPr>
        <w:t>famous</w:t>
      </w:r>
      <w:r>
        <w:rPr>
          <w:color w:val="6E6158"/>
          <w:spacing w:val="9"/>
        </w:rPr>
        <w:t> </w:t>
      </w:r>
      <w:r>
        <w:rPr>
          <w:color w:val="6E6158"/>
        </w:rPr>
        <w:t>triathlon: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Ironman</w:t>
      </w:r>
      <w:r>
        <w:rPr>
          <w:color w:val="6E6158"/>
          <w:spacing w:val="9"/>
        </w:rPr>
        <w:t> </w:t>
      </w:r>
      <w:r>
        <w:rPr>
          <w:color w:val="6E6158"/>
        </w:rPr>
        <w:t>World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Championship.</w:t>
      </w:r>
    </w:p>
    <w:p>
      <w:pPr>
        <w:pStyle w:val="BodyText"/>
        <w:spacing w:after="0" w:line="224" w:lineRule="exact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297"/>
      </w:pPr>
      <w:r>
        <w:rPr>
          <w:color w:val="6E6158"/>
        </w:rPr>
        <w:t>David enjoys adventuring and traveling with his wife and spending time with his </w:t>
      </w:r>
      <w:r>
        <w:rPr>
          <w:color w:val="6E6158"/>
        </w:rPr>
        <w:t>Alaskan Malamute and two cats.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50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152612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16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410977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0466pt;width:1.65pt;height:1.65pt;mso-position-horizontal-relative:page;mso-position-vertical-relative:paragraph;z-index:15729664" id="docshape14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Gonzaga University School of </w:t>
      </w:r>
      <w:r>
        <w:rPr>
          <w:color w:val="6E6158"/>
        </w:rPr>
        <w:t>Law</w:t>
      </w:r>
      <w:r>
        <w:rPr>
          <w:color w:val="6E6158"/>
        </w:rPr>
        <w:t> B.A., Washington State University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56" w:right="66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152820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105pt;width:1.65pt;height:1.65pt;mso-position-horizontal-relative:page;mso-position-vertical-relative:paragraph;z-index:15730176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416353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373pt;width:1.65pt;height:1.65pt;mso-position-horizontal-relative:page;mso-position-vertical-relative:paragraph;z-index:15730688" id="docshape1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</w:t>
      </w:r>
      <w:r>
        <w:rPr>
          <w:color w:val="6E6158"/>
          <w:spacing w:val="-2"/>
        </w:rPr>
        <w:t>ERISA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152495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506pt;width:1.65pt;height:1.65pt;mso-position-horizontal-relative:page;mso-position-vertical-relative:paragraph;z-index:15731200" id="docshape1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Super 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9"/>
          <w:position w:val="7"/>
          <w:sz w:val="16"/>
        </w:rPr>
        <w:t> </w:t>
      </w:r>
      <w:r>
        <w:rPr>
          <w:i/>
          <w:color w:val="6E6158"/>
          <w:spacing w:val="-2"/>
          <w:sz w:val="20"/>
        </w:rPr>
        <w:t>Rising Stars, </w:t>
      </w:r>
      <w:r>
        <w:rPr>
          <w:color w:val="6E6158"/>
          <w:spacing w:val="-2"/>
          <w:sz w:val="19"/>
        </w:rPr>
        <w:t>2020-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left="356" w:right="1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152561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7pt;width:1.65pt;height:1.65pt;mso-position-horizontal-relative:page;mso-position-vertical-relative:paragraph;z-index:15731712" id="docshape1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</w:t>
      </w:r>
      <w:hyperlink r:id="rId11">
        <w:r>
          <w:rPr>
            <w:color w:val="F5821F"/>
          </w:rPr>
          <w:t>Buying Or Selling A Business? Don’t Forget To Look Out For These Employee Benefits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Issues!</w:t>
        </w:r>
      </w:hyperlink>
      <w:r>
        <w:rPr>
          <w:color w:val="6E6158"/>
        </w:rPr>
        <w:t>, Fennemore Blog, June 26, 2024</w:t>
      </w:r>
    </w:p>
    <w:p>
      <w:pPr>
        <w:pStyle w:val="BodyText"/>
        <w:spacing w:line="292" w:lineRule="auto"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131466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1731pt;width:1.65pt;height:1.65pt;mso-position-horizontal-relative:page;mso-position-vertical-relative:paragraph;z-index:15732224" id="docshape19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Co-Author “New 401(k) Plan Rules Impose Mandatory Eligibility Requirements for Part-</w:t>
        </w:r>
        <w:r>
          <w:rPr>
            <w:color w:val="F5821F"/>
          </w:rPr>
          <w:t>Time</w:t>
        </w:r>
      </w:hyperlink>
      <w:r>
        <w:rPr>
          <w:color w:val="F5821F"/>
          <w:spacing w:val="40"/>
        </w:rPr>
        <w:t> </w:t>
      </w:r>
      <w:hyperlink r:id="rId12">
        <w:r>
          <w:rPr>
            <w:color w:val="F5821F"/>
          </w:rPr>
          <w:t>Employees in 2024,” Fennemore Client Alert, October 5, 2023</w:t>
        </w:r>
      </w:hyperlink>
    </w:p>
    <w:p>
      <w:pPr>
        <w:pStyle w:val="BodyText"/>
        <w:spacing w:line="302" w:lineRule="auto" w:before="124"/>
        <w:ind w:left="356" w:right="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137994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5705pt;width:1.65pt;height:1.65pt;mso-position-horizontal-relative:page;mso-position-vertical-relative:paragraph;z-index:15732736" id="docshape2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5821F"/>
          </w:rPr>
          <w:t>Co-Author “Roth Catch-Up Contributions Under SECURE 2.0: The IRS Delays New </w:t>
        </w:r>
        <w:r>
          <w:rPr>
            <w:color w:val="F5821F"/>
          </w:rPr>
          <w:t>Requirements</w:t>
        </w:r>
      </w:hyperlink>
      <w:r>
        <w:rPr>
          <w:color w:val="F5821F"/>
          <w:spacing w:val="80"/>
        </w:rPr>
        <w:t> </w:t>
      </w:r>
      <w:hyperlink r:id="rId13">
        <w:r>
          <w:rPr>
            <w:color w:val="F5821F"/>
          </w:rPr>
          <w:t>to 2026,” Fennemore Client Alert, September 6, 2023</w:t>
        </w:r>
      </w:hyperlink>
    </w:p>
    <w:p>
      <w:pPr>
        <w:pStyle w:val="BodyText"/>
        <w:spacing w:line="292" w:lineRule="auto" w:before="11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130870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4737pt;width:1.65pt;height:1.65pt;mso-position-horizontal-relative:page;mso-position-vertical-relative:paragraph;z-index:15733248" id="docshape21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Co-Author “Health Plans Must Attest They Have No “Gag Clause” By End of 2023: It’s Time To</w:t>
        </w:r>
      </w:hyperlink>
      <w:r>
        <w:rPr>
          <w:color w:val="F5821F"/>
          <w:spacing w:val="40"/>
        </w:rPr>
        <w:t> </w:t>
      </w:r>
      <w:hyperlink r:id="rId14">
        <w:r>
          <w:rPr>
            <w:color w:val="F5821F"/>
          </w:rPr>
          <w:t>Check Your Service Provider Agreement,” Fennemore Client Alert, August 24, 2023</w:t>
        </w:r>
      </w:hyperlink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152585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568pt;width:1.65pt;height:1.65pt;mso-position-horizontal-relative:page;mso-position-vertical-relative:paragraph;z-index:15733760" id="docshape2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Member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Volunteer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Play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Gracie</w:t>
      </w:r>
      <w:r>
        <w:rPr>
          <w:color w:val="6E6158"/>
          <w:spacing w:val="11"/>
        </w:rPr>
        <w:t> </w:t>
      </w:r>
      <w:r>
        <w:rPr>
          <w:color w:val="6E6158"/>
        </w:rPr>
        <w:t>Foundation,</w:t>
      </w:r>
      <w:r>
        <w:rPr>
          <w:color w:val="6E6158"/>
          <w:spacing w:val="10"/>
        </w:rPr>
        <w:t> </w:t>
      </w:r>
      <w:r>
        <w:rPr>
          <w:color w:val="6E6158"/>
        </w:rPr>
        <w:t>Spokane,</w:t>
      </w:r>
      <w:r>
        <w:rPr>
          <w:color w:val="6E6158"/>
          <w:spacing w:val="10"/>
        </w:rPr>
        <w:t> </w:t>
      </w:r>
      <w:r>
        <w:rPr>
          <w:color w:val="6E6158"/>
        </w:rPr>
        <w:t>WA,</w:t>
      </w:r>
      <w:r>
        <w:rPr>
          <w:color w:val="6E6158"/>
          <w:spacing w:val="10"/>
        </w:rPr>
        <w:t> </w:t>
      </w:r>
      <w:r>
        <w:rPr>
          <w:color w:val="6E6158"/>
        </w:rPr>
        <w:t>2014-</w:t>
      </w:r>
      <w:r>
        <w:rPr>
          <w:color w:val="6E6158"/>
          <w:spacing w:val="-4"/>
        </w:rPr>
        <w:t>2019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left="356" w:right="72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152405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455pt;width:1.65pt;height:1.65pt;mso-position-horizontal-relative:page;mso-position-vertical-relative:paragraph;z-index:15734272" id="docshape2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410771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4204pt;width:1.65pt;height:1.65pt;mso-position-horizontal-relative:page;mso-position-vertical-relative:paragraph;z-index:15734784" id="docshape24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Washington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58686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0986pt;width:1.65pt;height:1.65pt;mso-position-horizontal-relative:page;mso-position-vertical-relative:paragraph;z-index:15735296" id="docshape25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175303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388pt;width:1.65pt;height:1.65pt;mso-position-horizontal-relative:page;mso-position-vertical-relative:paragraph;z-index:15735808" id="docshape2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170172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432pt;width:1.65pt;height:1.65pt;mso-position-horizontal-relative:page;mso-position-vertical-relative:paragraph;z-index:15736320" id="docshape2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170122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5476pt;width:1.65pt;height:1.65pt;mso-position-horizontal-relative:page;mso-position-vertical-relative:paragraph;z-index:15736832" id="docshape28" coordorigin="1675,268" coordsize="33,33" path="m1696,300l1687,300,1683,299,1676,293,1675,289,1675,280,1676,276,1683,269,1687,268,1696,268,1699,269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2"/>
        </w:rPr>
        <w:t> </w:t>
      </w:r>
      <w:r>
        <w:rPr>
          <w:color w:val="6E6158"/>
        </w:rPr>
        <w:t>Bankruptcy</w:t>
      </w:r>
      <w:r>
        <w:rPr>
          <w:color w:val="6E6158"/>
          <w:spacing w:val="13"/>
        </w:rPr>
        <w:t> </w:t>
      </w:r>
      <w:r>
        <w:rPr>
          <w:color w:val="6E6158"/>
        </w:rPr>
        <w:t>Court,</w:t>
      </w:r>
      <w:r>
        <w:rPr>
          <w:color w:val="6E6158"/>
          <w:spacing w:val="13"/>
        </w:rPr>
        <w:t> </w:t>
      </w:r>
      <w:r>
        <w:rPr>
          <w:color w:val="6E6158"/>
        </w:rPr>
        <w:t>Eastern</w:t>
      </w:r>
      <w:r>
        <w:rPr>
          <w:color w:val="6E6158"/>
          <w:spacing w:val="13"/>
        </w:rPr>
        <w:t> </w:t>
      </w:r>
      <w:r>
        <w:rPr>
          <w:color w:val="6E6158"/>
        </w:rPr>
        <w:t>District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170072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1521pt;width:1.65pt;height:1.65pt;mso-position-horizontal-relative:page;mso-position-vertical-relative:paragraph;z-index:15737344" id="docshape29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Bankruptcy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Western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Washington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mployment-and-labor-relation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dsieck@fennemorelaw.com" TargetMode="External"/><Relationship Id="rId11" Type="http://schemas.openxmlformats.org/officeDocument/2006/relationships/hyperlink" Target="https://www.fennemorelaw.com/buying-or-selling-a-business-dont-forget-to-look-out-for-these-employee-benefits-issues/" TargetMode="External"/><Relationship Id="rId12" Type="http://schemas.openxmlformats.org/officeDocument/2006/relationships/hyperlink" Target="https://mailchi.mp/fennemorelaw/roth-catch-up-contributions-15828694?e=521c02bb5c" TargetMode="External"/><Relationship Id="rId13" Type="http://schemas.openxmlformats.org/officeDocument/2006/relationships/hyperlink" Target="https://mailchi.mp/fennemorelaw/roth-catch-up-contributions" TargetMode="External"/><Relationship Id="rId14" Type="http://schemas.openxmlformats.org/officeDocument/2006/relationships/hyperlink" Target="https://mailchi.mp/fennemorelaw/erisa-gag-clause?e=%5bUNIQI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2025-01-06T17:16:58Z</dcterms:created>
  <dcterms:modified xsi:type="dcterms:W3CDTF">2025-01-06T17:16:58Z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