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5575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557520"/>
                          <a:chExt cx="6066790" cy="55575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818643"/>
                            <a:ext cx="6066790" cy="167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679575">
                                <a:moveTo>
                                  <a:pt x="6066424" y="1679376"/>
                                </a:moveTo>
                                <a:lnTo>
                                  <a:pt x="0" y="1679376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679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549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550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550285">
                                <a:moveTo>
                                  <a:pt x="3033212" y="3549943"/>
                                </a:moveTo>
                                <a:lnTo>
                                  <a:pt x="0" y="3549943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549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32619" y="1369338"/>
                            <a:ext cx="183451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 h="320675">
                                <a:moveTo>
                                  <a:pt x="18343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34388" y="320382"/>
                                </a:lnTo>
                                <a:lnTo>
                                  <a:pt x="1834388" y="315214"/>
                                </a:lnTo>
                                <a:close/>
                              </a:path>
                              <a:path w="1834514" h="320675">
                                <a:moveTo>
                                  <a:pt x="1834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34388" y="5168"/>
                                </a:lnTo>
                                <a:lnTo>
                                  <a:pt x="1834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32136" y="763308"/>
                            <a:ext cx="184848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DEBRA J. 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39"/>
                                </w:rPr>
                                <w:t>POLLY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369" y="1916467"/>
                            <a:ext cx="1779905" cy="136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602.916.5309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602.916.5509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602.916.5309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602.916.5509</w:t>
                              </w:r>
                            </w:p>
                            <w:p>
                              <w:pPr>
                                <w:spacing w:line="460" w:lineRule="atLeast" w:before="26"/>
                                <w:ind w:left="298" w:right="316" w:hanging="1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dpolly@fennemorelaw.com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442296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56706" y="4412279"/>
                            <a:ext cx="3569335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Iroquois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society,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leaders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encouraged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remember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seven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generations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past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consider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seven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generations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future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making decisions that affect the people.</w:t>
                              </w:r>
                            </w:p>
                            <w:p>
                              <w:pPr>
                                <w:spacing w:before="2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Wilma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Mankiller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442296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37.6pt;mso-position-horizontal-relative:page;mso-position-vertical-relative:page;z-index:15729152" id="docshapegroup1" coordorigin="1341,560" coordsize="9554,8752">
                <v:rect style="position:absolute;left:1341;top:6573;width:9554;height:2645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5591" type="#_x0000_t75" id="docshape4" stroked="false">
                  <v:imagedata r:id="rId7" o:title=""/>
                </v:shape>
                <v:rect style="position:absolute;left:6117;top:983;width:4777;height:5591" id="docshape5" filled="true" fillcolor="#262424" stroked="false">
                  <v:fill type="solid"/>
                </v:rect>
                <v:shape style="position:absolute;left:7061;top:2716;width:2889;height:505" id="docshape6" coordorigin="7062,2716" coordsize="2889,505" path="m9951,3213l7062,3213,7062,3221,9951,3221,9951,3213xm9951,2716l7062,2716,7062,2725,9951,2725,9951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61;top:1762;width:2911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DEBRA J. </w:t>
                        </w:r>
                        <w:r>
                          <w:rPr>
                            <w:color w:val="FFFFFF"/>
                            <w:spacing w:val="-9"/>
                            <w:sz w:val="39"/>
                          </w:rPr>
                          <w:t>POLLY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2153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602.916.5309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602.916.5509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602.916.5309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602.916.5509</w:t>
                        </w:r>
                      </w:p>
                      <w:p>
                        <w:pPr>
                          <w:spacing w:line="460" w:lineRule="atLeast" w:before="26"/>
                          <w:ind w:left="298" w:right="316" w:hanging="1"/>
                          <w:jc w:val="center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dpolly@fennemorelaw.com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7525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20;top:7508;width:5621;height:1054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Iroquois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society,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leaders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encouraged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remember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seven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generations </w:t>
                        </w:r>
                        <w:r>
                          <w:rPr>
                            <w:color w:val="FFFFFF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past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consider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seven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generations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future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when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making decisions that affect the people.</w:t>
                        </w:r>
                      </w:p>
                      <w:p>
                        <w:pPr>
                          <w:spacing w:before="2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Wilma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Mankiller</w:t>
                        </w:r>
                      </w:p>
                    </w:txbxContent>
                  </v:textbox>
                  <w10:wrap type="none"/>
                </v:shape>
                <v:shape style="position:absolute;left:8986;top:7525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1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DEBRA</w:t>
      </w:r>
      <w:r>
        <w:rPr>
          <w:color w:val="FF8100"/>
          <w:spacing w:val="5"/>
        </w:rPr>
        <w:t> </w:t>
      </w:r>
      <w:r>
        <w:rPr>
          <w:color w:val="FF8100"/>
        </w:rPr>
        <w:t>J.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POLLY</w:t>
      </w:r>
    </w:p>
    <w:p>
      <w:pPr>
        <w:pStyle w:val="BodyText"/>
        <w:spacing w:line="295" w:lineRule="auto" w:before="147"/>
        <w:ind w:left="104" w:right="264"/>
      </w:pPr>
      <w:r>
        <w:rPr>
          <w:color w:val="6E6158"/>
        </w:rPr>
        <w:t>Deb Polly is a director in our Trusts &amp; Estates practice group who works out of our Phoenix office.</w:t>
      </w:r>
      <w:r>
        <w:rPr>
          <w:color w:val="6E6158"/>
          <w:spacing w:val="40"/>
        </w:rPr>
        <w:t> </w:t>
      </w:r>
      <w:r>
        <w:rPr>
          <w:color w:val="6E6158"/>
        </w:rPr>
        <w:t>Her practice focuses on probate; estate &amp; trust administration; estate planning; retirement</w:t>
      </w:r>
      <w:r>
        <w:rPr>
          <w:color w:val="6E6158"/>
          <w:spacing w:val="40"/>
        </w:rPr>
        <w:t> </w:t>
      </w:r>
      <w:r>
        <w:rPr>
          <w:color w:val="6E6158"/>
        </w:rPr>
        <w:t>benefits planning and administration; estate tax, gift tax, and generation-skipping transfer tax</w:t>
      </w:r>
      <w:r>
        <w:rPr>
          <w:color w:val="6E6158"/>
          <w:spacing w:val="40"/>
        </w:rPr>
        <w:t> </w:t>
      </w:r>
      <w:r>
        <w:rPr>
          <w:color w:val="6E6158"/>
        </w:rPr>
        <w:t>planning, strategy and compliance; and family settlement agreements and negotiation. Deb </w:t>
      </w:r>
      <w:r>
        <w:rPr>
          <w:color w:val="6E6158"/>
        </w:rPr>
        <w:t>is</w:t>
      </w:r>
      <w:r>
        <w:rPr>
          <w:color w:val="6E6158"/>
          <w:spacing w:val="40"/>
        </w:rPr>
        <w:t> </w:t>
      </w:r>
      <w:r>
        <w:rPr>
          <w:color w:val="6E6158"/>
        </w:rPr>
        <w:t>also an Arizona Certified Public Accountant.</w:t>
      </w:r>
    </w:p>
    <w:p>
      <w:pPr>
        <w:pStyle w:val="BodyText"/>
        <w:spacing w:line="297" w:lineRule="auto" w:before="195"/>
        <w:ind w:left="104" w:right="320"/>
      </w:pPr>
      <w:r>
        <w:rPr>
          <w:color w:val="6E6158"/>
        </w:rPr>
        <w:t>Originally from Sioux City, Iowa, Deb began her professional career working for KPMG, one of the</w:t>
      </w:r>
      <w:r>
        <w:rPr>
          <w:color w:val="6E6158"/>
          <w:spacing w:val="40"/>
        </w:rPr>
        <w:t> </w:t>
      </w:r>
      <w:r>
        <w:rPr>
          <w:color w:val="6E6158"/>
        </w:rPr>
        <w:t>“Big</w:t>
      </w:r>
      <w:r>
        <w:rPr>
          <w:color w:val="6E6158"/>
          <w:spacing w:val="25"/>
        </w:rPr>
        <w:t> </w:t>
      </w:r>
      <w:r>
        <w:rPr>
          <w:color w:val="6E6158"/>
        </w:rPr>
        <w:t>Four”</w:t>
      </w:r>
      <w:r>
        <w:rPr>
          <w:color w:val="6E6158"/>
          <w:spacing w:val="25"/>
        </w:rPr>
        <w:t> </w:t>
      </w:r>
      <w:r>
        <w:rPr>
          <w:color w:val="6E6158"/>
        </w:rPr>
        <w:t>–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four</w:t>
      </w:r>
      <w:r>
        <w:rPr>
          <w:color w:val="6E6158"/>
          <w:spacing w:val="25"/>
        </w:rPr>
        <w:t> </w:t>
      </w:r>
      <w:r>
        <w:rPr>
          <w:color w:val="6E6158"/>
        </w:rPr>
        <w:t>largest</w:t>
      </w:r>
      <w:r>
        <w:rPr>
          <w:color w:val="6E6158"/>
          <w:spacing w:val="25"/>
        </w:rPr>
        <w:t> </w:t>
      </w:r>
      <w:r>
        <w:rPr>
          <w:color w:val="6E6158"/>
        </w:rPr>
        <w:t>accounting</w:t>
      </w:r>
      <w:r>
        <w:rPr>
          <w:color w:val="6E6158"/>
          <w:spacing w:val="25"/>
        </w:rPr>
        <w:t> </w:t>
      </w:r>
      <w:r>
        <w:rPr>
          <w:color w:val="6E6158"/>
        </w:rPr>
        <w:t>firms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United</w:t>
      </w:r>
      <w:r>
        <w:rPr>
          <w:color w:val="6E6158"/>
          <w:spacing w:val="25"/>
        </w:rPr>
        <w:t> </w:t>
      </w:r>
      <w:r>
        <w:rPr>
          <w:color w:val="6E6158"/>
        </w:rPr>
        <w:t>States.</w:t>
      </w:r>
      <w:r>
        <w:rPr>
          <w:color w:val="6E6158"/>
          <w:spacing w:val="25"/>
        </w:rPr>
        <w:t> </w:t>
      </w:r>
      <w:r>
        <w:rPr>
          <w:color w:val="6E6158"/>
        </w:rPr>
        <w:t>She</w:t>
      </w:r>
      <w:r>
        <w:rPr>
          <w:color w:val="6E6158"/>
          <w:spacing w:val="25"/>
        </w:rPr>
        <w:t> </w:t>
      </w:r>
      <w:r>
        <w:rPr>
          <w:color w:val="6E6158"/>
        </w:rPr>
        <w:t>gravitated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work involving</w:t>
      </w:r>
      <w:r>
        <w:rPr>
          <w:color w:val="6E6158"/>
          <w:spacing w:val="27"/>
        </w:rPr>
        <w:t> </w:t>
      </w:r>
      <w:r>
        <w:rPr>
          <w:color w:val="6E6158"/>
        </w:rPr>
        <w:t>consulting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estate</w:t>
      </w:r>
      <w:r>
        <w:rPr>
          <w:color w:val="6E6158"/>
          <w:spacing w:val="27"/>
        </w:rPr>
        <w:t> </w:t>
      </w:r>
      <w:r>
        <w:rPr>
          <w:color w:val="6E6158"/>
        </w:rPr>
        <w:t>planning</w:t>
      </w:r>
      <w:r>
        <w:rPr>
          <w:color w:val="6E6158"/>
          <w:spacing w:val="27"/>
        </w:rPr>
        <w:t> </w:t>
      </w:r>
      <w:r>
        <w:rPr>
          <w:color w:val="6E6158"/>
        </w:rPr>
        <w:t>strategies,</w:t>
      </w:r>
      <w:r>
        <w:rPr>
          <w:color w:val="6E6158"/>
          <w:spacing w:val="27"/>
        </w:rPr>
        <w:t> </w:t>
      </w:r>
      <w:r>
        <w:rPr>
          <w:color w:val="6E6158"/>
        </w:rPr>
        <w:t>however,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fully</w:t>
      </w:r>
      <w:r>
        <w:rPr>
          <w:color w:val="6E6158"/>
          <w:spacing w:val="27"/>
        </w:rPr>
        <w:t> </w:t>
      </w:r>
      <w:r>
        <w:rPr>
          <w:color w:val="6E6158"/>
        </w:rPr>
        <w:t>assist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clients,</w:t>
      </w:r>
      <w:r>
        <w:rPr>
          <w:color w:val="6E6158"/>
          <w:spacing w:val="27"/>
        </w:rPr>
        <w:t> </w:t>
      </w:r>
      <w:r>
        <w:rPr>
          <w:color w:val="6E6158"/>
        </w:rPr>
        <w:t>it</w:t>
      </w:r>
      <w:r>
        <w:rPr>
          <w:color w:val="6E6158"/>
          <w:spacing w:val="27"/>
        </w:rPr>
        <w:t> </w:t>
      </w:r>
      <w:r>
        <w:rPr>
          <w:color w:val="6E6158"/>
        </w:rPr>
        <w:t>was</w:t>
      </w:r>
    </w:p>
    <w:p>
      <w:pPr>
        <w:pStyle w:val="BodyText"/>
        <w:spacing w:line="292" w:lineRule="auto"/>
        <w:ind w:left="104" w:right="320"/>
      </w:pPr>
      <w:r>
        <w:rPr>
          <w:color w:val="6E6158"/>
        </w:rPr>
        <w:t>evident that she needed to become an attorney – and this led her to law school and a</w:t>
      </w:r>
      <w:r>
        <w:rPr>
          <w:color w:val="6E6158"/>
          <w:spacing w:val="40"/>
        </w:rPr>
        <w:t> </w:t>
      </w:r>
      <w:r>
        <w:rPr>
          <w:color w:val="6E6158"/>
        </w:rPr>
        <w:t>rewarding career in the legal profession. In her work involving estate planning and</w:t>
      </w:r>
    </w:p>
    <w:p>
      <w:pPr>
        <w:pStyle w:val="BodyText"/>
        <w:spacing w:line="292" w:lineRule="auto" w:before="5"/>
        <w:ind w:left="104"/>
      </w:pPr>
      <w:r>
        <w:rPr>
          <w:color w:val="6E6158"/>
        </w:rPr>
        <w:t>administration, Deb takes great pride in creating customized solutions – never a “one size fits all”</w:t>
      </w:r>
      <w:r>
        <w:rPr>
          <w:color w:val="6E6158"/>
          <w:spacing w:val="40"/>
        </w:rPr>
        <w:t> </w:t>
      </w:r>
      <w:r>
        <w:rPr>
          <w:color w:val="6E6158"/>
        </w:rPr>
        <w:t>approach – on behalf of her esteemed clients.</w:t>
      </w:r>
    </w:p>
    <w:p>
      <w:pPr>
        <w:pStyle w:val="BodyText"/>
        <w:spacing w:before="1"/>
        <w:rPr>
          <w:sz w:val="15"/>
        </w:rPr>
      </w:pPr>
      <w:r>
        <w:rPr>
          <w:sz w:val="15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980844</wp:posOffset>
            </wp:positionH>
            <wp:positionV relativeFrom="paragraph">
              <wp:posOffset>132680</wp:posOffset>
            </wp:positionV>
            <wp:extent cx="771524" cy="771525"/>
            <wp:effectExtent l="0" t="0" r="0" b="0"/>
            <wp:wrapTopAndBottom/>
            <wp:docPr id="12" name="Image 12">
              <a:hlinkClick r:id="rId13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>
                      <a:hlinkClick r:id="rId13"/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15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w:drawing>
          <wp:inline distT="0" distB="0" distL="0" distR="0">
            <wp:extent cx="854375" cy="885825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3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66"/>
      </w:pPr>
    </w:p>
    <w:p>
      <w:pPr>
        <w:pStyle w:val="BodyText"/>
        <w:spacing w:line="295" w:lineRule="auto"/>
        <w:ind w:left="104" w:right="320"/>
      </w:pPr>
      <w:r>
        <w:rPr>
          <w:color w:val="6E6158"/>
        </w:rPr>
        <w:t>Deb is a fellow of the American College of Trust and Estate Counsel (ACTEC), a group of peer-</w:t>
      </w:r>
      <w:r>
        <w:rPr>
          <w:color w:val="6E6158"/>
          <w:spacing w:val="40"/>
        </w:rPr>
        <w:t> </w:t>
      </w:r>
      <w:r>
        <w:rPr>
          <w:color w:val="6E6158"/>
        </w:rPr>
        <w:t>elected trust and estate attorneys spanning the U.S. and abroad. She regularly delivers</w:t>
      </w:r>
      <w:r>
        <w:rPr>
          <w:color w:val="6E6158"/>
          <w:spacing w:val="40"/>
        </w:rPr>
        <w:t> </w:t>
      </w:r>
      <w:r>
        <w:rPr>
          <w:color w:val="6E6158"/>
        </w:rPr>
        <w:t>presentations on estate and trust law to fellow attorneys and CPAs, and is a Certified Specialist in</w:t>
      </w:r>
      <w:r>
        <w:rPr>
          <w:color w:val="6E6158"/>
          <w:spacing w:val="40"/>
        </w:rPr>
        <w:t> </w:t>
      </w:r>
      <w:r>
        <w:rPr>
          <w:color w:val="6E6158"/>
        </w:rPr>
        <w:t>estate and trust law through the State Bar of Arizona.</w:t>
      </w:r>
    </w:p>
    <w:p>
      <w:pPr>
        <w:pStyle w:val="BodyText"/>
        <w:spacing w:line="295" w:lineRule="auto" w:before="197"/>
        <w:ind w:left="104" w:right="320"/>
      </w:pPr>
      <w:r>
        <w:rPr>
          <w:color w:val="6E6158"/>
        </w:rPr>
        <w:t>Outside of the office, Deb’s life is an enjoyable blur as the mother of three teenagers, including a</w:t>
      </w:r>
      <w:r>
        <w:rPr>
          <w:color w:val="6E6158"/>
          <w:spacing w:val="40"/>
        </w:rPr>
        <w:t> </w:t>
      </w:r>
      <w:r>
        <w:rPr>
          <w:color w:val="6E6158"/>
        </w:rPr>
        <w:t>daughter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travel</w:t>
      </w:r>
      <w:r>
        <w:rPr>
          <w:color w:val="6E6158"/>
          <w:spacing w:val="29"/>
        </w:rPr>
        <w:t> </w:t>
      </w:r>
      <w:r>
        <w:rPr>
          <w:color w:val="6E6158"/>
        </w:rPr>
        <w:t>ice</w:t>
      </w:r>
      <w:r>
        <w:rPr>
          <w:color w:val="6E6158"/>
          <w:spacing w:val="29"/>
        </w:rPr>
        <w:t> </w:t>
      </w:r>
      <w:r>
        <w:rPr>
          <w:color w:val="6E6158"/>
        </w:rPr>
        <w:t>hockey</w:t>
      </w:r>
      <w:r>
        <w:rPr>
          <w:color w:val="6E6158"/>
          <w:spacing w:val="29"/>
        </w:rPr>
        <w:t> </w:t>
      </w:r>
      <w:r>
        <w:rPr>
          <w:color w:val="6E6158"/>
        </w:rPr>
        <w:t>team.</w:t>
      </w:r>
      <w:r>
        <w:rPr>
          <w:color w:val="6E6158"/>
          <w:spacing w:val="29"/>
        </w:rPr>
        <w:t> </w:t>
      </w:r>
      <w:r>
        <w:rPr>
          <w:color w:val="6E6158"/>
        </w:rPr>
        <w:t>Her</w:t>
      </w:r>
      <w:r>
        <w:rPr>
          <w:color w:val="6E6158"/>
          <w:spacing w:val="29"/>
        </w:rPr>
        <w:t> </w:t>
      </w:r>
      <w:r>
        <w:rPr>
          <w:color w:val="6E6158"/>
        </w:rPr>
        <w:t>family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loves</w:t>
      </w:r>
      <w:r>
        <w:rPr>
          <w:color w:val="6E6158"/>
          <w:spacing w:val="29"/>
        </w:rPr>
        <w:t> </w:t>
      </w:r>
      <w:r>
        <w:rPr>
          <w:color w:val="6E6158"/>
        </w:rPr>
        <w:t>exploring</w:t>
      </w:r>
      <w:r>
        <w:rPr>
          <w:color w:val="6E6158"/>
          <w:spacing w:val="29"/>
        </w:rPr>
        <w:t> </w:t>
      </w:r>
      <w:r>
        <w:rPr>
          <w:color w:val="6E6158"/>
        </w:rPr>
        <w:t>Arizona,</w:t>
      </w:r>
      <w:r>
        <w:rPr>
          <w:color w:val="6E6158"/>
          <w:spacing w:val="29"/>
        </w:rPr>
        <w:t> </w:t>
      </w:r>
      <w:r>
        <w:rPr>
          <w:color w:val="6E6158"/>
        </w:rPr>
        <w:t>especially Flagstaff where one memorable trip in July involved torrential hail on the ski lift, and hot cocoa</w:t>
      </w:r>
      <w:r>
        <w:rPr>
          <w:color w:val="6E6158"/>
          <w:spacing w:val="40"/>
        </w:rPr>
        <w:t> </w:t>
      </w:r>
      <w:r>
        <w:rPr>
          <w:color w:val="6E6158"/>
        </w:rPr>
        <w:t>served once they made it back to the lodge.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left="356" w:right="21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152825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468pt;width:1.65pt;height:1.65pt;mso-position-horizontal-relative:page;mso-position-vertical-relative:paragraph;z-index:15729664" id="docshape1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416357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4092pt;width:1.65pt;height:1.65pt;mso-position-horizontal-relative:page;mso-position-vertical-relative:paragraph;z-index:15730176" id="docshape13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35"/>
        </w:rPr>
        <w:t> </w:t>
      </w:r>
      <w:r>
        <w:rPr>
          <w:color w:val="6E6158"/>
        </w:rPr>
        <w:t>Arizona</w:t>
      </w:r>
      <w:r>
        <w:rPr>
          <w:color w:val="6E6158"/>
          <w:spacing w:val="35"/>
        </w:rPr>
        <w:t> </w:t>
      </w:r>
      <w:r>
        <w:rPr>
          <w:color w:val="6E6158"/>
        </w:rPr>
        <w:t>State</w:t>
      </w:r>
      <w:r>
        <w:rPr>
          <w:color w:val="6E6158"/>
          <w:spacing w:val="35"/>
        </w:rPr>
        <w:t> </w:t>
      </w:r>
      <w:r>
        <w:rPr>
          <w:color w:val="6E6158"/>
        </w:rPr>
        <w:t>University</w:t>
      </w:r>
      <w:r>
        <w:rPr>
          <w:color w:val="6E6158"/>
          <w:spacing w:val="35"/>
        </w:rPr>
        <w:t> </w:t>
      </w:r>
      <w:r>
        <w:rPr>
          <w:color w:val="6E6158"/>
        </w:rPr>
        <w:t>Sandra</w:t>
      </w:r>
      <w:r>
        <w:rPr>
          <w:color w:val="6E6158"/>
          <w:spacing w:val="35"/>
        </w:rPr>
        <w:t> </w:t>
      </w:r>
      <w:r>
        <w:rPr>
          <w:color w:val="6E6158"/>
        </w:rPr>
        <w:t>Day</w:t>
      </w:r>
      <w:r>
        <w:rPr>
          <w:color w:val="6E6158"/>
          <w:spacing w:val="35"/>
        </w:rPr>
        <w:t> </w:t>
      </w:r>
      <w:r>
        <w:rPr>
          <w:color w:val="6E6158"/>
        </w:rPr>
        <w:t>O’Connor</w:t>
      </w:r>
      <w:r>
        <w:rPr>
          <w:color w:val="6E6158"/>
          <w:spacing w:val="35"/>
        </w:rPr>
        <w:t> </w:t>
      </w:r>
      <w:r>
        <w:rPr>
          <w:color w:val="6E6158"/>
        </w:rPr>
        <w:t>School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Law Master of Taxation, Arizona State University W.P. Carey School of </w:t>
      </w:r>
      <w:r>
        <w:rPr>
          <w:color w:val="6E6158"/>
        </w:rPr>
        <w:t>Business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54762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2011pt;width:1.65pt;height:1.65pt;mso-position-horizontal-relative:page;mso-position-vertical-relative:paragraph;z-index:15730688" id="docshape14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Accountancy,</w:t>
      </w:r>
      <w:r>
        <w:rPr>
          <w:color w:val="6E6158"/>
          <w:spacing w:val="9"/>
        </w:rPr>
        <w:t> </w:t>
      </w:r>
      <w:r>
        <w:rPr>
          <w:color w:val="6E6158"/>
        </w:rPr>
        <w:t>Arizona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W.P.</w:t>
      </w:r>
      <w:r>
        <w:rPr>
          <w:color w:val="6E6158"/>
          <w:spacing w:val="9"/>
        </w:rPr>
        <w:t> </w:t>
      </w:r>
      <w:r>
        <w:rPr>
          <w:color w:val="6E6158"/>
        </w:rPr>
        <w:t>Carey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6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152558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493pt;width:1.65pt;height:1.65pt;mso-position-horizontal-relative:page;mso-position-vertical-relative:paragraph;z-index:15731200" id="docshape1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416091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3119pt;width:1.65pt;height:1.65pt;mso-position-horizontal-relative:page;mso-position-vertical-relative:paragraph;z-index:15731712" id="docshape16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152868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6895pt;width:1.65pt;height:1.65pt;mso-position-horizontal-relative:page;mso-position-vertical-relative:paragraph;z-index:15732224" id="docshape1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Super</w:t>
      </w:r>
      <w:r>
        <w:rPr>
          <w:color w:val="6E6158"/>
          <w:spacing w:val="15"/>
        </w:rPr>
        <w:t> </w:t>
      </w:r>
      <w:r>
        <w:rPr>
          <w:color w:val="6E6158"/>
        </w:rPr>
        <w:t>Lawyers</w:t>
      </w:r>
      <w:r>
        <w:rPr>
          <w:color w:val="6E6158"/>
          <w:spacing w:val="15"/>
        </w:rPr>
        <w:t> </w:t>
      </w:r>
      <w:r>
        <w:rPr>
          <w:color w:val="6E6158"/>
        </w:rPr>
        <w:t>Southwest</w:t>
      </w:r>
      <w:r>
        <w:rPr>
          <w:color w:val="6E6158"/>
          <w:spacing w:val="16"/>
        </w:rPr>
        <w:t> </w:t>
      </w:r>
      <w:r>
        <w:rPr>
          <w:color w:val="6E6158"/>
        </w:rPr>
        <w:t>Rising</w:t>
      </w:r>
      <w:r>
        <w:rPr>
          <w:color w:val="6E6158"/>
          <w:spacing w:val="15"/>
        </w:rPr>
        <w:t> </w:t>
      </w:r>
      <w:r>
        <w:rPr>
          <w:color w:val="6E6158"/>
        </w:rPr>
        <w:t>Stars</w:t>
      </w:r>
      <w:r>
        <w:rPr>
          <w:color w:val="6E6158"/>
          <w:spacing w:val="15"/>
        </w:rPr>
        <w:t> </w:t>
      </w:r>
      <w:r>
        <w:rPr>
          <w:color w:val="6E6158"/>
        </w:rPr>
        <w:t>2012-</w:t>
      </w:r>
      <w:r>
        <w:rPr>
          <w:color w:val="6E6158"/>
          <w:spacing w:val="-4"/>
        </w:rPr>
        <w:t>2015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7" w:lineRule="auto" w:before="147"/>
        <w:ind w:left="356" w:right="20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152602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906pt;width:1.65pt;height:1.65pt;mso-position-horizontal-relative:page;mso-position-vertical-relative:paragraph;z-index:15732736" id="docshape1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u w:val="single" w:color="6E6158"/>
        </w:rPr>
        <w:t>Organizations</w:t>
      </w:r>
      <w:r>
        <w:rPr>
          <w:color w:val="6E6158"/>
          <w:u w:val="none"/>
        </w:rPr>
        <w:t>: State Bar of Arizona, Arizona ACTEC Meeting, National Business Institute, Valley Estate Planners, East Valley Estate Planning Council, Arizona Community Foundation, </w:t>
      </w:r>
      <w:r>
        <w:rPr>
          <w:color w:val="6E6158"/>
          <w:u w:val="none"/>
        </w:rPr>
        <w:t>Planned Giving Roundtable, Catholic Community Foundation, Central Phoenix Women</w:t>
      </w:r>
    </w:p>
    <w:p>
      <w:pPr>
        <w:pStyle w:val="BodyText"/>
        <w:spacing w:line="295" w:lineRule="auto" w:before="118"/>
        <w:ind w:left="356"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134217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68316pt;width:1.65pt;height:1.65pt;mso-position-horizontal-relative:page;mso-position-vertical-relative:paragraph;z-index:15733248" id="docshape19" coordorigin="1675,211" coordsize="33,33" path="m1696,244l1687,244,1683,242,1676,236,1675,232,1675,223,1676,219,1683,213,1687,211,1696,211,1699,213,1706,219,1707,223,1707,228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u w:val="single" w:color="6E6158"/>
        </w:rPr>
        <w:t>Topics</w:t>
      </w:r>
      <w:r>
        <w:rPr>
          <w:color w:val="6E6158"/>
          <w:u w:val="none"/>
        </w:rPr>
        <w:t>: Advanced Generation-Skipping Transfer Tax and Marital Deduction Issues, Income Tax Planning for Trusts and Estates, Probate Process, Generation-Skipping Transfer Tax Issues in Gift Tax Returns, Other Various Generation-Skipping Transfer Tax Issues (War Stories, General, and Current Status), Tips for Effective Estate Planning</w:t>
      </w:r>
    </w:p>
    <w:p>
      <w:pPr>
        <w:pStyle w:val="Heading1"/>
        <w:spacing w:before="28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152780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963pt;width:1.65pt;height:1.65pt;mso-position-horizontal-relative:page;mso-position-vertical-relative:paragraph;z-index:15733760" id="docshape2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</w:t>
      </w:r>
      <w:r>
        <w:rPr>
          <w:color w:val="6E6158"/>
          <w:spacing w:val="10"/>
        </w:rPr>
        <w:t> </w:t>
      </w:r>
      <w:r>
        <w:rPr>
          <w:color w:val="6E6158"/>
        </w:rPr>
        <w:t>American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Trust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Counsel</w:t>
      </w:r>
    </w:p>
    <w:p>
      <w:pPr>
        <w:pStyle w:val="BodyText"/>
        <w:spacing w:line="292" w:lineRule="auto" w:before="182"/>
        <w:ind w:left="356"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175042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883pt;width:1.65pt;height:1.65pt;mso-position-horizontal-relative:page;mso-position-vertical-relative:paragraph;z-index:15734272" id="docshape2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 Chair, Secretary and Board Member of the Estate Planning, Probate, and Trust Section of the</w:t>
      </w:r>
      <w:r>
        <w:rPr>
          <w:color w:val="6E6158"/>
          <w:spacing w:val="26"/>
        </w:rPr>
        <w:t> </w:t>
      </w:r>
      <w:r>
        <w:rPr>
          <w:color w:val="6E6158"/>
        </w:rPr>
        <w:t>Maricopa</w:t>
      </w:r>
      <w:r>
        <w:rPr>
          <w:color w:val="6E6158"/>
          <w:spacing w:val="26"/>
        </w:rPr>
        <w:t> </w:t>
      </w:r>
      <w:r>
        <w:rPr>
          <w:color w:val="6E6158"/>
        </w:rPr>
        <w:t>County</w:t>
      </w:r>
      <w:r>
        <w:rPr>
          <w:color w:val="6E6158"/>
          <w:spacing w:val="26"/>
        </w:rPr>
        <w:t> </w:t>
      </w:r>
      <w:r>
        <w:rPr>
          <w:color w:val="6E6158"/>
        </w:rPr>
        <w:t>Bar</w:t>
      </w:r>
      <w:r>
        <w:rPr>
          <w:color w:val="6E6158"/>
          <w:spacing w:val="26"/>
        </w:rPr>
        <w:t> </w:t>
      </w:r>
      <w:r>
        <w:rPr>
          <w:color w:val="6E6158"/>
        </w:rPr>
        <w:t>Association;</w:t>
      </w:r>
      <w:r>
        <w:rPr>
          <w:color w:val="6E6158"/>
          <w:spacing w:val="26"/>
        </w:rPr>
        <w:t> </w:t>
      </w:r>
      <w:r>
        <w:rPr>
          <w:color w:val="6E6158"/>
        </w:rPr>
        <w:t>Probate</w:t>
      </w:r>
      <w:r>
        <w:rPr>
          <w:color w:val="6E6158"/>
          <w:spacing w:val="26"/>
        </w:rPr>
        <w:t> </w:t>
      </w:r>
      <w:r>
        <w:rPr>
          <w:color w:val="6E6158"/>
        </w:rPr>
        <w:t>&amp;</w:t>
      </w:r>
      <w:r>
        <w:rPr>
          <w:color w:val="6E6158"/>
          <w:spacing w:val="26"/>
        </w:rPr>
        <w:t> </w:t>
      </w:r>
      <w:r>
        <w:rPr>
          <w:color w:val="6E6158"/>
        </w:rPr>
        <w:t>Trust</w:t>
      </w:r>
      <w:r>
        <w:rPr>
          <w:color w:val="6E6158"/>
          <w:spacing w:val="26"/>
        </w:rPr>
        <w:t> </w:t>
      </w:r>
      <w:r>
        <w:rPr>
          <w:color w:val="6E6158"/>
        </w:rPr>
        <w:t>Section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State</w:t>
      </w:r>
      <w:r>
        <w:rPr>
          <w:color w:val="6E6158"/>
          <w:spacing w:val="26"/>
        </w:rPr>
        <w:t> </w:t>
      </w:r>
      <w:r>
        <w:rPr>
          <w:color w:val="6E6158"/>
        </w:rPr>
        <w:t>Bar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Arizona</w:t>
      </w:r>
    </w:p>
    <w:p>
      <w:pPr>
        <w:pStyle w:val="BodyText"/>
        <w:spacing w:line="420" w:lineRule="auto" w:before="123"/>
        <w:ind w:left="356" w:right="21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137755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856pt;width:1.65pt;height:1.65pt;mso-position-horizontal-relative:page;mso-position-vertical-relative:paragraph;z-index:15734784" id="docshape22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396120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190605pt;width:1.65pt;height:1.65pt;mso-position-horizontal-relative:page;mso-position-vertical-relative:paragraph;z-index:15735296" id="docshape23" coordorigin="1675,624" coordsize="33,33" path="m1696,656l1687,656,1683,655,1676,648,1675,645,1675,636,1676,632,1683,625,1687,624,1696,624,1699,625,1706,632,1707,636,1707,640,1707,645,1706,648,1699,655,1696,6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40"/>
        </w:rPr>
        <w:t> </w:t>
      </w:r>
      <w:r>
        <w:rPr>
          <w:color w:val="6E6158"/>
        </w:rPr>
        <w:t>LexisNexis</w:t>
      </w:r>
      <w:r>
        <w:rPr>
          <w:color w:val="6E6158"/>
          <w:spacing w:val="40"/>
        </w:rPr>
        <w:t> </w:t>
      </w:r>
      <w:r>
        <w:rPr>
          <w:color w:val="6E6158"/>
        </w:rPr>
        <w:t>Practical</w:t>
      </w:r>
      <w:r>
        <w:rPr>
          <w:color w:val="6E6158"/>
          <w:spacing w:val="40"/>
        </w:rPr>
        <w:t> </w:t>
      </w:r>
      <w:r>
        <w:rPr>
          <w:color w:val="6E6158"/>
        </w:rPr>
        <w:t>Guidance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Planning</w:t>
      </w:r>
      <w:r>
        <w:rPr>
          <w:color w:val="6E6158"/>
          <w:spacing w:val="40"/>
        </w:rPr>
        <w:t> </w:t>
      </w:r>
      <w:r>
        <w:rPr>
          <w:color w:val="6E6158"/>
        </w:rPr>
        <w:t>Forms Member, Tax Section, American Institute of Certified Public </w:t>
      </w:r>
      <w:r>
        <w:rPr>
          <w:color w:val="6E6158"/>
        </w:rPr>
        <w:t>Accountants</w:t>
      </w:r>
    </w:p>
    <w:p>
      <w:pPr>
        <w:pStyle w:val="BodyText"/>
        <w:spacing w:line="292" w:lineRule="auto"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63808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4261pt;width:1.65pt;height:1.65pt;mso-position-horizontal-relative:page;mso-position-vertical-relative:paragraph;z-index:15735808" id="docshape24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Tax &amp; Legal Seminar Committee, Arizona Community Foundation / Center for Jewish </w:t>
      </w:r>
      <w:r>
        <w:rPr>
          <w:color w:val="6E6158"/>
          <w:spacing w:val="-2"/>
        </w:rPr>
        <w:t>Philanthropy</w:t>
      </w:r>
    </w:p>
    <w:p>
      <w:pPr>
        <w:pStyle w:val="BodyText"/>
        <w:spacing w:after="0" w:line="292" w:lineRule="auto"/>
        <w:sectPr>
          <w:pgSz w:w="12240" w:h="15840"/>
          <w:pgMar w:top="60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6320" id="docshape2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Valley</w:t>
      </w:r>
      <w:r>
        <w:rPr>
          <w:color w:val="6E6158"/>
          <w:spacing w:val="9"/>
        </w:rPr>
        <w:t> </w:t>
      </w:r>
      <w:r>
        <w:rPr>
          <w:color w:val="6E6158"/>
        </w:rPr>
        <w:t>Estate</w:t>
      </w:r>
      <w:r>
        <w:rPr>
          <w:color w:val="6E6158"/>
          <w:spacing w:val="9"/>
        </w:rPr>
        <w:t> </w:t>
      </w:r>
      <w:r>
        <w:rPr>
          <w:color w:val="6E6158"/>
        </w:rPr>
        <w:t>Planners</w:t>
      </w:r>
      <w:r>
        <w:rPr>
          <w:color w:val="6E6158"/>
          <w:spacing w:val="10"/>
        </w:rPr>
        <w:t> </w:t>
      </w:r>
      <w:r>
        <w:rPr>
          <w:color w:val="6E6158"/>
        </w:rPr>
        <w:t>Past</w:t>
      </w:r>
      <w:r>
        <w:rPr>
          <w:color w:val="6E6158"/>
          <w:spacing w:val="9"/>
        </w:rPr>
        <w:t> </w:t>
      </w:r>
      <w:r>
        <w:rPr>
          <w:color w:val="6E6158"/>
        </w:rPr>
        <w:t>President</w:t>
      </w:r>
      <w:r>
        <w:rPr>
          <w:color w:val="6E6158"/>
          <w:spacing w:val="10"/>
        </w:rPr>
        <w:t> </w:t>
      </w:r>
      <w:r>
        <w:rPr>
          <w:color w:val="6E6158"/>
        </w:rPr>
        <w:t>(2011)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prior</w:t>
      </w:r>
      <w:r>
        <w:rPr>
          <w:color w:val="6E6158"/>
          <w:spacing w:val="9"/>
        </w:rPr>
        <w:t> </w: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Member</w:t>
      </w:r>
    </w:p>
    <w:p>
      <w:pPr>
        <w:pStyle w:val="BodyText"/>
        <w:spacing w:line="427" w:lineRule="auto" w:before="174"/>
        <w:ind w:left="356"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170168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33pt;width:1.65pt;height:1.65pt;mso-position-horizontal-relative:page;mso-position-vertical-relative:paragraph;z-index:15736832" id="docshape2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433701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757pt;width:1.65pt;height:1.65pt;mso-position-horizontal-relative:page;mso-position-vertical-relative:paragraph;z-index:15737344" id="docshape27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Vice President, Treasurer, and Board Member for the Copper State Skating Club Presenter, Financial Series, Fresh Start Foundation for Women</w:t>
      </w:r>
    </w:p>
    <w:p>
      <w:pPr>
        <w:pStyle w:val="BodyText"/>
        <w:spacing w:line="420" w:lineRule="auto"/>
        <w:ind w:left="356" w:right="5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54961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7676pt;width:1.65pt;height:1.65pt;mso-position-horizontal-relative:page;mso-position-vertical-relative:paragraph;z-index:15737856" id="docshape28" coordorigin="1675,87" coordsize="33,33" path="m1696,119l1687,119,1683,118,1676,111,1675,107,1675,98,1676,94,1683,88,1687,87,1696,87,1699,88,1706,94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313327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71425pt;width:1.65pt;height:1.65pt;mso-position-horizontal-relative:page;mso-position-vertical-relative:paragraph;z-index:15738368" id="docshape29" coordorigin="1675,493" coordsize="33,33" path="m1696,526l1687,526,1683,524,1676,518,1675,514,1675,505,1676,501,1683,495,1687,493,1696,493,1699,495,1706,501,1707,505,1707,510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 Habitat for Humanity Volunteer, Fennemore </w:t>
      </w:r>
      <w:r>
        <w:rPr>
          <w:color w:val="6E6158"/>
        </w:rPr>
        <w:t>Foundation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53952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8207pt;width:1.65pt;height:1.65pt;mso-position-horizontal-relative:page;mso-position-vertical-relative:paragraph;z-index:15738880" id="docshape30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Regular</w:t>
      </w:r>
      <w:r>
        <w:rPr>
          <w:color w:val="6E6158"/>
          <w:spacing w:val="10"/>
        </w:rPr>
        <w:t> </w:t>
      </w:r>
      <w:r>
        <w:rPr>
          <w:color w:val="6E6158"/>
        </w:rPr>
        <w:t>Volunteer</w:t>
      </w:r>
      <w:r>
        <w:rPr>
          <w:color w:val="6E6158"/>
          <w:spacing w:val="10"/>
        </w:rPr>
        <w:t> </w:t>
      </w:r>
      <w:r>
        <w:rPr>
          <w:color w:val="6E6158"/>
        </w:rPr>
        <w:t>at</w:t>
      </w:r>
      <w:r>
        <w:rPr>
          <w:color w:val="6E6158"/>
          <w:spacing w:val="10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children’s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(Great</w:t>
      </w:r>
      <w:r>
        <w:rPr>
          <w:color w:val="6E6158"/>
          <w:spacing w:val="11"/>
        </w:rPr>
        <w:t> </w:t>
      </w:r>
      <w:r>
        <w:rPr>
          <w:color w:val="6E6158"/>
        </w:rPr>
        <w:t>Hearts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Academies)</w:t>
      </w:r>
    </w:p>
    <w:p>
      <w:pPr>
        <w:pStyle w:val="Heading1"/>
        <w:spacing w:before="214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left="356" w:right="76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152696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328pt;width:1.65pt;height:1.65pt;mso-position-horizontal-relative:page;mso-position-vertical-relative:paragraph;z-index:15739392" id="docshape3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411061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7077pt;width:1.65pt;height:1.65pt;mso-position-horizontal-relative:page;mso-position-vertical-relative:paragraph;z-index:15739904" id="docshape32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https://www.fennemorelaw.com/contact-us/las-vegas/" TargetMode="External"/><Relationship Id="rId11" Type="http://schemas.openxmlformats.org/officeDocument/2006/relationships/hyperlink" Target="https://www.fennemorelaw.com/contact-us/reno/" TargetMode="External"/><Relationship Id="rId12" Type="http://schemas.openxmlformats.org/officeDocument/2006/relationships/hyperlink" Target="mailto:dpolly@fennemorelaw.com" TargetMode="External"/><Relationship Id="rId13" Type="http://schemas.openxmlformats.org/officeDocument/2006/relationships/hyperlink" Target="https://www.actec.org/find-a-lawyer/profile/%23/Debra-Polly/34767" TargetMode="External"/><Relationship Id="rId14" Type="http://schemas.openxmlformats.org/officeDocument/2006/relationships/image" Target="media/image3.jpeg"/><Relationship Id="rId15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2025-01-06T16:53:25Z</dcterms:created>
  <dcterms:modified xsi:type="dcterms:W3CDTF">2025-01-06T16:53:25Z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