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52216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5221605"/>
                          <a:chExt cx="6066790" cy="52216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425928"/>
                            <a:ext cx="6066790" cy="1783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783080">
                                <a:moveTo>
                                  <a:pt x="6066424" y="1782722"/>
                                </a:moveTo>
                                <a:lnTo>
                                  <a:pt x="0" y="1782722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7827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725309" y="763308"/>
                            <a:ext cx="1661795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6" w:lineRule="auto" w:before="4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DONOVAN</w:t>
                              </w:r>
                              <w:r>
                                <w:rPr>
                                  <w:color w:val="FFFFFF"/>
                                  <w:spacing w:val="-23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COLLIER</w:t>
                              </w:r>
                            </w:p>
                            <w:p>
                              <w:pPr>
                                <w:spacing w:before="48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Land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5"/>
                                    <w:sz w:val="16"/>
                                  </w:rPr>
                                  <w:t>Use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2190334"/>
                            <a:ext cx="1779905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San</w:t>
                                </w:r>
                                <w:r>
                                  <w:rPr>
                                    <w:color w:val="FFFFFF"/>
                                    <w:spacing w:val="2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Bernardino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909.723.1814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909.890.9877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25910" y="2763906"/>
                            <a:ext cx="1460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dcollier@fennemorelaw.com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4087091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381287" y="4019563"/>
                            <a:ext cx="3320415" cy="4889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48" w:lineRule="auto"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cannot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exist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without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law.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Law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bond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society: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which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makes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which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preserves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keeps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together.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is,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fact,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before="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essence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civil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society.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2598592" y="4665477"/>
                            <a:ext cx="88582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-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Joseph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16"/>
                                </w:rPr>
                                <w:t>P. Bradley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4087091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411.15pt;mso-position-horizontal-relative:page;mso-position-vertical-relative:page;z-index:15728640" id="docshapegroup1" coordorigin="1341,560" coordsize="9554,8223">
                <v:rect style="position:absolute;left:1341;top:5955;width:9554;height:2808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973" type="#_x0000_t75" id="docshape4" stroked="false">
                  <v:imagedata r:id="rId7" o:title=""/>
                </v:shape>
                <v:rect style="position:absolute;left:6117;top:983;width:4777;height:4973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207;top:1762;width:2617;height:1731" type="#_x0000_t202" id="docshape7" filled="false" stroked="false">
                  <v:textbox inset="0,0,0,0">
                    <w:txbxContent>
                      <w:p>
                        <w:pPr>
                          <w:spacing w:line="216" w:lineRule="auto" w:before="4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DONOVAN</w:t>
                        </w:r>
                        <w:r>
                          <w:rPr>
                            <w:color w:val="FFFFFF"/>
                            <w:spacing w:val="-23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COLLIER</w:t>
                        </w:r>
                      </w:p>
                      <w:p>
                        <w:pPr>
                          <w:spacing w:before="48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Land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5"/>
                              <w:sz w:val="16"/>
                            </w:rPr>
                            <w:t>Use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4009;width:2803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San</w:t>
                          </w:r>
                          <w:r>
                            <w:rPr>
                              <w:color w:val="FFFFFF"/>
                              <w:spacing w:val="2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Bernardino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909.723.1814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909.890.9877</w:t>
                        </w:r>
                      </w:p>
                    </w:txbxContent>
                  </v:textbox>
                  <w10:wrap type="none"/>
                </v:shape>
                <v:shape style="position:absolute;left:7366;top:4912;width:2300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dcollier@fennemorelaw.com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996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516;top:6890;width:5229;height:770" type="#_x0000_t202" id="docshape11" filled="false" stroked="false">
                  <v:textbox inset="0,0,0,0">
                    <w:txbxContent>
                      <w:p>
                        <w:pPr>
                          <w:spacing w:line="348" w:lineRule="auto"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cannot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exist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without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law.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Law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bond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society: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which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makes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that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which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preserves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keeps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together.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is,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fact,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the</w:t>
                        </w:r>
                      </w:p>
                      <w:p>
                        <w:pPr>
                          <w:spacing w:before="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essence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civil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society.</w:t>
                        </w:r>
                      </w:p>
                    </w:txbxContent>
                  </v:textbox>
                  <w10:wrap type="none"/>
                </v:shape>
                <v:shape style="position:absolute;left:5433;top:7907;width:1395;height:200" type="#_x0000_t202" id="docshape12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-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Joseph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6"/>
                            <w:sz w:val="16"/>
                          </w:rPr>
                          <w:t>P. Bradley</w:t>
                        </w:r>
                      </w:p>
                    </w:txbxContent>
                  </v:textbox>
                  <w10:wrap type="none"/>
                </v:shape>
                <v:shape style="position:absolute;left:8986;top:6996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1"/>
        <w:rPr>
          <w:rFonts w:ascii="Times New Roman"/>
          <w:sz w:val="24"/>
        </w:rPr>
      </w:pPr>
    </w:p>
    <w:p>
      <w:pPr>
        <w:pStyle w:val="Heading1"/>
        <w:spacing w:before="1"/>
      </w:pPr>
      <w:r>
        <w:rPr>
          <w:color w:val="FF8100"/>
        </w:rPr>
        <w:t>DONOVAN</w:t>
      </w:r>
      <w:r>
        <w:rPr>
          <w:color w:val="FF8100"/>
          <w:spacing w:val="8"/>
        </w:rPr>
        <w:t> </w:t>
      </w:r>
      <w:r>
        <w:rPr>
          <w:color w:val="FF8100"/>
        </w:rPr>
        <w:t>C.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COLLIER</w:t>
      </w:r>
    </w:p>
    <w:p>
      <w:pPr>
        <w:pStyle w:val="BodyText"/>
        <w:spacing w:line="295" w:lineRule="auto" w:before="146"/>
        <w:ind w:left="104" w:right="143"/>
      </w:pPr>
      <w:r>
        <w:rPr>
          <w:color w:val="6E6158"/>
        </w:rPr>
        <w:t>Donovan Collier is a director in our San Bernardino office where he has extensive experience</w:t>
      </w:r>
      <w:r>
        <w:rPr>
          <w:color w:val="6E6158"/>
          <w:spacing w:val="40"/>
        </w:rPr>
        <w:t> </w:t>
      </w:r>
      <w:r>
        <w:rPr>
          <w:color w:val="6E6158"/>
        </w:rPr>
        <w:t>counseling</w:t>
      </w:r>
      <w:r>
        <w:rPr>
          <w:color w:val="6E6158"/>
          <w:spacing w:val="35"/>
        </w:rPr>
        <w:t> </w:t>
      </w:r>
      <w:r>
        <w:rPr>
          <w:color w:val="6E6158"/>
        </w:rPr>
        <w:t>clients</w:t>
      </w:r>
      <w:r>
        <w:rPr>
          <w:color w:val="6E6158"/>
          <w:spacing w:val="35"/>
        </w:rPr>
        <w:t> </w:t>
      </w:r>
      <w:r>
        <w:rPr>
          <w:color w:val="6E6158"/>
        </w:rPr>
        <w:t>to</w:t>
      </w:r>
      <w:r>
        <w:rPr>
          <w:color w:val="6E6158"/>
          <w:spacing w:val="35"/>
        </w:rPr>
        <w:t> </w:t>
      </w:r>
      <w:r>
        <w:rPr>
          <w:color w:val="6E6158"/>
        </w:rPr>
        <w:t>ensure</w:t>
      </w:r>
      <w:r>
        <w:rPr>
          <w:color w:val="6E6158"/>
          <w:spacing w:val="35"/>
        </w:rPr>
        <w:t> </w:t>
      </w:r>
      <w:r>
        <w:rPr>
          <w:color w:val="6E6158"/>
        </w:rPr>
        <w:t>compliance</w:t>
      </w:r>
      <w:r>
        <w:rPr>
          <w:color w:val="6E6158"/>
          <w:spacing w:val="35"/>
        </w:rPr>
        <w:t> </w:t>
      </w:r>
      <w:r>
        <w:rPr>
          <w:color w:val="6E6158"/>
        </w:rPr>
        <w:t>with</w:t>
      </w:r>
      <w:r>
        <w:rPr>
          <w:color w:val="6E6158"/>
          <w:spacing w:val="35"/>
        </w:rPr>
        <w:t> </w:t>
      </w:r>
      <w:r>
        <w:rPr>
          <w:color w:val="6E6158"/>
        </w:rPr>
        <w:t>complex</w:t>
      </w:r>
      <w:r>
        <w:rPr>
          <w:color w:val="6E6158"/>
          <w:spacing w:val="35"/>
        </w:rPr>
        <w:t> </w:t>
      </w:r>
      <w:r>
        <w:rPr>
          <w:color w:val="6E6158"/>
        </w:rPr>
        <w:t>federal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state</w:t>
      </w:r>
      <w:r>
        <w:rPr>
          <w:color w:val="6E6158"/>
          <w:spacing w:val="35"/>
        </w:rPr>
        <w:t> </w:t>
      </w:r>
      <w:r>
        <w:rPr>
          <w:color w:val="6E6158"/>
        </w:rPr>
        <w:t>environmental</w:t>
      </w:r>
      <w:r>
        <w:rPr>
          <w:color w:val="6E6158"/>
          <w:spacing w:val="35"/>
        </w:rPr>
        <w:t> </w:t>
      </w:r>
      <w:r>
        <w:rPr>
          <w:color w:val="6E6158"/>
        </w:rPr>
        <w:t>laws and regulations. This includes the California Environmental Quality Act (CEQA), National</w:t>
      </w:r>
      <w:r>
        <w:rPr>
          <w:color w:val="6E6158"/>
          <w:spacing w:val="40"/>
        </w:rPr>
        <w:t> </w:t>
      </w:r>
      <w:r>
        <w:rPr>
          <w:color w:val="6E6158"/>
        </w:rPr>
        <w:t>Environmental Policy Act (NEPA), Federal and California Endangered Species Acts, Clean Water</w:t>
      </w:r>
      <w:r>
        <w:rPr>
          <w:color w:val="6E6158"/>
          <w:spacing w:val="40"/>
        </w:rPr>
        <w:t> </w:t>
      </w:r>
      <w:r>
        <w:rPr>
          <w:color w:val="6E6158"/>
        </w:rPr>
        <w:t>Act, and Porter-Cologne Water Quality Act. Donovan has acted as lead entitlement counsel for</w:t>
      </w:r>
      <w:r>
        <w:rPr>
          <w:color w:val="6E6158"/>
          <w:spacing w:val="40"/>
        </w:rPr>
        <w:t> </w:t>
      </w:r>
      <w:r>
        <w:rPr>
          <w:color w:val="6E6158"/>
        </w:rPr>
        <w:t>numerous complex and controversial land use projects, successfully appearing before local</w:t>
      </w:r>
      <w:r>
        <w:rPr>
          <w:color w:val="6E6158"/>
          <w:spacing w:val="40"/>
        </w:rPr>
        <w:t> </w:t>
      </w:r>
      <w:r>
        <w:rPr>
          <w:color w:val="6E6158"/>
        </w:rPr>
        <w:t>agencies throughout Southern California.</w:t>
      </w:r>
    </w:p>
    <w:p>
      <w:pPr>
        <w:pStyle w:val="BodyText"/>
        <w:spacing w:line="295" w:lineRule="auto" w:before="200"/>
        <w:ind w:left="104" w:right="143"/>
      </w:pPr>
      <w:r>
        <w:rPr>
          <w:color w:val="6E6158"/>
        </w:rPr>
        <w:t>He</w:t>
      </w:r>
      <w:r>
        <w:rPr>
          <w:color w:val="6E6158"/>
          <w:spacing w:val="30"/>
        </w:rPr>
        <w:t> </w:t>
      </w:r>
      <w:r>
        <w:rPr>
          <w:color w:val="6E6158"/>
        </w:rPr>
        <w:t>takes</w:t>
      </w:r>
      <w:r>
        <w:rPr>
          <w:color w:val="6E6158"/>
          <w:spacing w:val="30"/>
        </w:rPr>
        <w:t> </w:t>
      </w:r>
      <w:r>
        <w:rPr>
          <w:color w:val="6E6158"/>
        </w:rPr>
        <w:t>great</w:t>
      </w:r>
      <w:r>
        <w:rPr>
          <w:color w:val="6E6158"/>
          <w:spacing w:val="30"/>
        </w:rPr>
        <w:t> </w:t>
      </w:r>
      <w:r>
        <w:rPr>
          <w:color w:val="6E6158"/>
        </w:rPr>
        <w:t>pride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assisting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assessing,</w:t>
      </w:r>
      <w:r>
        <w:rPr>
          <w:color w:val="6E6158"/>
          <w:spacing w:val="30"/>
        </w:rPr>
        <w:t> </w:t>
      </w:r>
      <w:r>
        <w:rPr>
          <w:color w:val="6E6158"/>
        </w:rPr>
        <w:t>developing,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implementing</w:t>
      </w:r>
      <w:r>
        <w:rPr>
          <w:color w:val="6E6158"/>
          <w:spacing w:val="30"/>
        </w:rPr>
        <w:t> </w:t>
      </w:r>
      <w:r>
        <w:rPr>
          <w:color w:val="6E6158"/>
        </w:rPr>
        <w:t>strategies for land use and regulatory compliance, including counsel on legislative and administrative </w:t>
      </w:r>
      <w:r>
        <w:rPr>
          <w:color w:val="6E6158"/>
        </w:rPr>
        <w:t>land</w:t>
      </w:r>
      <w:r>
        <w:rPr>
          <w:color w:val="6E6158"/>
          <w:spacing w:val="40"/>
        </w:rPr>
        <w:t> </w:t>
      </w:r>
      <w:r>
        <w:rPr>
          <w:color w:val="6E6158"/>
        </w:rPr>
        <w:t>use</w:t>
      </w:r>
      <w:r>
        <w:rPr>
          <w:color w:val="6E6158"/>
          <w:spacing w:val="40"/>
        </w:rPr>
        <w:t> </w:t>
      </w:r>
      <w:r>
        <w:rPr>
          <w:color w:val="6E6158"/>
        </w:rPr>
        <w:t>approvals,</w:t>
      </w:r>
      <w:r>
        <w:rPr>
          <w:color w:val="6E6158"/>
          <w:spacing w:val="40"/>
        </w:rPr>
        <w:t> </w:t>
      </w:r>
      <w:r>
        <w:rPr>
          <w:color w:val="6E6158"/>
        </w:rPr>
        <w:t>such</w:t>
      </w:r>
      <w:r>
        <w:rPr>
          <w:color w:val="6E6158"/>
          <w:spacing w:val="40"/>
        </w:rPr>
        <w:t> </w:t>
      </w:r>
      <w:r>
        <w:rPr>
          <w:color w:val="6E6158"/>
        </w:rPr>
        <w:t>as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impacted</w:t>
      </w:r>
      <w:r>
        <w:rPr>
          <w:color w:val="6E6158"/>
          <w:spacing w:val="40"/>
        </w:rPr>
        <w:t> </w:t>
      </w:r>
      <w:r>
        <w:rPr>
          <w:color w:val="6E6158"/>
        </w:rPr>
        <w:t>properties,</w:t>
      </w:r>
      <w:r>
        <w:rPr>
          <w:color w:val="6E6158"/>
          <w:spacing w:val="40"/>
        </w:rPr>
        <w:t> </w:t>
      </w:r>
      <w:r>
        <w:rPr>
          <w:color w:val="6E6158"/>
        </w:rPr>
        <w:t>development</w:t>
      </w:r>
      <w:r>
        <w:rPr>
          <w:color w:val="6E6158"/>
          <w:spacing w:val="40"/>
        </w:rPr>
        <w:t> </w:t>
      </w:r>
      <w:r>
        <w:rPr>
          <w:color w:val="6E6158"/>
        </w:rPr>
        <w:t>agreements, tentative maps and subdivision map issues, zoning, general plan amendments, specific plans,</w:t>
      </w:r>
      <w:r>
        <w:rPr>
          <w:color w:val="6E6158"/>
          <w:spacing w:val="40"/>
        </w:rPr>
        <w:t> </w:t>
      </w:r>
      <w:r>
        <w:rPr>
          <w:color w:val="6E6158"/>
        </w:rPr>
        <w:t>traffic and transportation issues, and conditional use permits and variances.</w:t>
      </w:r>
    </w:p>
    <w:p>
      <w:pPr>
        <w:pStyle w:val="BodyText"/>
        <w:spacing w:line="295" w:lineRule="auto" w:before="195"/>
        <w:ind w:left="104" w:right="291"/>
      </w:pPr>
      <w:r>
        <w:rPr>
          <w:color w:val="6E6158"/>
        </w:rPr>
        <w:t>During his distinguished career, Donovan has represented national and multi-national clients in</w:t>
      </w:r>
      <w:r>
        <w:rPr>
          <w:color w:val="6E6158"/>
          <w:spacing w:val="40"/>
        </w:rPr>
        <w:t> </w:t>
      </w:r>
      <w:r>
        <w:rPr>
          <w:color w:val="6E6158"/>
        </w:rPr>
        <w:t>obtaining local land use entitlements for the development of large commercial developments.</w:t>
      </w:r>
      <w:r>
        <w:rPr>
          <w:color w:val="6E6158"/>
          <w:spacing w:val="80"/>
        </w:rPr>
        <w:t> </w:t>
      </w:r>
      <w:r>
        <w:rPr>
          <w:color w:val="6E6158"/>
        </w:rPr>
        <w:t>His experience enables him to provide effective guidance and management of the </w:t>
      </w:r>
      <w:r>
        <w:rPr>
          <w:color w:val="6E6158"/>
        </w:rPr>
        <w:t>entitlement</w:t>
      </w:r>
      <w:r>
        <w:rPr>
          <w:color w:val="6E6158"/>
          <w:spacing w:val="40"/>
        </w:rPr>
        <w:t> </w:t>
      </w:r>
      <w:r>
        <w:rPr>
          <w:color w:val="6E6158"/>
        </w:rPr>
        <w:t>process to ensure the entitlements obtained are legally defensible. He has successfully guided</w:t>
      </w:r>
      <w:r>
        <w:rPr>
          <w:color w:val="6E6158"/>
          <w:spacing w:val="40"/>
        </w:rPr>
        <w:t> </w:t>
      </w:r>
      <w:r>
        <w:rPr>
          <w:color w:val="6E6158"/>
        </w:rPr>
        <w:t>clients through the permitting of development projects involving water rights, wetlands, waste</w:t>
      </w:r>
      <w:r>
        <w:rPr>
          <w:color w:val="6E6158"/>
          <w:spacing w:val="40"/>
        </w:rPr>
        <w:t> </w:t>
      </w:r>
      <w:r>
        <w:rPr>
          <w:color w:val="6E6158"/>
        </w:rPr>
        <w:t>materials,</w:t>
      </w:r>
      <w:r>
        <w:rPr>
          <w:color w:val="6E6158"/>
          <w:spacing w:val="37"/>
        </w:rPr>
        <w:t> </w:t>
      </w:r>
      <w:r>
        <w:rPr>
          <w:color w:val="6E6158"/>
        </w:rPr>
        <w:t>species</w:t>
      </w:r>
      <w:r>
        <w:rPr>
          <w:color w:val="6E6158"/>
          <w:spacing w:val="37"/>
        </w:rPr>
        <w:t> </w:t>
      </w:r>
      <w:r>
        <w:rPr>
          <w:color w:val="6E6158"/>
        </w:rPr>
        <w:t>protection,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Surface</w:t>
      </w:r>
      <w:r>
        <w:rPr>
          <w:color w:val="6E6158"/>
          <w:spacing w:val="37"/>
        </w:rPr>
        <w:t> </w:t>
      </w:r>
      <w:r>
        <w:rPr>
          <w:color w:val="6E6158"/>
        </w:rPr>
        <w:t>Mining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Reclamation</w:t>
      </w:r>
      <w:r>
        <w:rPr>
          <w:color w:val="6E6158"/>
          <w:spacing w:val="37"/>
        </w:rPr>
        <w:t> </w:t>
      </w:r>
      <w:r>
        <w:rPr>
          <w:color w:val="6E6158"/>
        </w:rPr>
        <w:t>Act,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other environmental</w:t>
      </w:r>
      <w:r>
        <w:rPr>
          <w:color w:val="6E6158"/>
          <w:spacing w:val="40"/>
        </w:rPr>
        <w:t> </w:t>
      </w:r>
      <w:r>
        <w:rPr>
          <w:color w:val="6E6158"/>
        </w:rPr>
        <w:t>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40"/>
        </w:rPr>
        <w:t> </w:t>
      </w:r>
      <w:r>
        <w:rPr>
          <w:color w:val="6E6158"/>
        </w:rPr>
        <w:t>CEQA/NEPA</w:t>
      </w:r>
      <w:r>
        <w:rPr>
          <w:color w:val="6E6158"/>
          <w:spacing w:val="40"/>
        </w:rPr>
        <w:t> </w:t>
      </w:r>
      <w:r>
        <w:rPr>
          <w:color w:val="6E6158"/>
        </w:rPr>
        <w:t>document</w:t>
      </w:r>
      <w:r>
        <w:rPr>
          <w:color w:val="6E6158"/>
          <w:spacing w:val="40"/>
        </w:rPr>
        <w:t> </w:t>
      </w:r>
      <w:r>
        <w:rPr>
          <w:color w:val="6E6158"/>
        </w:rPr>
        <w:t>review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project</w:t>
      </w:r>
      <w:r>
        <w:rPr>
          <w:color w:val="6E6158"/>
          <w:spacing w:val="40"/>
        </w:rPr>
        <w:t> </w:t>
      </w:r>
      <w:r>
        <w:rPr>
          <w:color w:val="6E6158"/>
        </w:rPr>
        <w:t>entitlement.</w:t>
      </w:r>
    </w:p>
    <w:p>
      <w:pPr>
        <w:pStyle w:val="BodyText"/>
        <w:spacing w:after="0" w:line="295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5" w:lineRule="auto" w:before="88"/>
        <w:ind w:left="104" w:right="124"/>
      </w:pPr>
      <w:r>
        <w:rPr>
          <w:color w:val="6E6158"/>
        </w:rPr>
        <w:t>Donovan represents clients in federal land issues, including mine permitting and reclamation,</w:t>
      </w:r>
      <w:r>
        <w:rPr>
          <w:color w:val="6E6158"/>
          <w:spacing w:val="40"/>
        </w:rPr>
        <w:t> </w:t>
      </w:r>
      <w:r>
        <w:rPr>
          <w:color w:val="6E6158"/>
        </w:rPr>
        <w:t>federal land exchanges, environmental compliance issues, and other natural resource and</w:t>
      </w:r>
      <w:r>
        <w:rPr>
          <w:color w:val="6E6158"/>
          <w:spacing w:val="40"/>
        </w:rPr>
        <w:t> </w:t>
      </w:r>
      <w:r>
        <w:rPr>
          <w:color w:val="6E6158"/>
        </w:rPr>
        <w:t>environmental matters.</w:t>
      </w:r>
      <w:r>
        <w:rPr>
          <w:color w:val="6E6158"/>
          <w:spacing w:val="80"/>
        </w:rPr>
        <w:t> </w:t>
      </w:r>
      <w:r>
        <w:rPr>
          <w:color w:val="6E6158"/>
        </w:rPr>
        <w:t>His practice also involves outdoor advertising law matters including </w:t>
      </w:r>
      <w:r>
        <w:rPr>
          <w:color w:val="6E6158"/>
        </w:rPr>
        <w:t>local and</w:t>
      </w:r>
      <w:r>
        <w:rPr>
          <w:color w:val="6E6158"/>
          <w:spacing w:val="36"/>
        </w:rPr>
        <w:t> </w:t>
      </w:r>
      <w:r>
        <w:rPr>
          <w:color w:val="6E6158"/>
        </w:rPr>
        <w:t>state</w:t>
      </w:r>
      <w:r>
        <w:rPr>
          <w:color w:val="6E6158"/>
          <w:spacing w:val="36"/>
        </w:rPr>
        <w:t> </w:t>
      </w:r>
      <w:r>
        <w:rPr>
          <w:color w:val="6E6158"/>
        </w:rPr>
        <w:t>permitting</w:t>
      </w:r>
      <w:r>
        <w:rPr>
          <w:color w:val="6E6158"/>
          <w:spacing w:val="36"/>
        </w:rPr>
        <w:t> </w:t>
      </w:r>
      <w:r>
        <w:rPr>
          <w:color w:val="6E6158"/>
        </w:rPr>
        <w:t>under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California</w:t>
      </w:r>
      <w:r>
        <w:rPr>
          <w:color w:val="6E6158"/>
          <w:spacing w:val="36"/>
        </w:rPr>
        <w:t> </w:t>
      </w:r>
      <w:r>
        <w:rPr>
          <w:color w:val="6E6158"/>
        </w:rPr>
        <w:t>Outdoor</w:t>
      </w:r>
      <w:r>
        <w:rPr>
          <w:color w:val="6E6158"/>
          <w:spacing w:val="36"/>
        </w:rPr>
        <w:t> </w:t>
      </w:r>
      <w:r>
        <w:rPr>
          <w:color w:val="6E6158"/>
        </w:rPr>
        <w:t>Advertising</w:t>
      </w:r>
      <w:r>
        <w:rPr>
          <w:color w:val="6E6158"/>
          <w:spacing w:val="36"/>
        </w:rPr>
        <w:t> </w:t>
      </w:r>
      <w:r>
        <w:rPr>
          <w:color w:val="6E6158"/>
        </w:rPr>
        <w:t>Act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associated</w:t>
      </w:r>
      <w:r>
        <w:rPr>
          <w:color w:val="6E6158"/>
          <w:spacing w:val="36"/>
        </w:rPr>
        <w:t> </w:t>
      </w:r>
      <w:r>
        <w:rPr>
          <w:color w:val="6E6158"/>
        </w:rPr>
        <w:t>Caltrans</w:t>
      </w:r>
    </w:p>
    <w:p>
      <w:pPr>
        <w:pStyle w:val="BodyText"/>
        <w:spacing w:before="2"/>
        <w:ind w:left="104"/>
      </w:pPr>
      <w:r>
        <w:rPr>
          <w:color w:val="6E6158"/>
          <w:spacing w:val="-2"/>
        </w:rPr>
        <w:t>regulations.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spacing w:before="136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152458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576pt;width:1.65pt;height:1.65pt;mso-position-horizontal-relative:page;mso-position-vertical-relative:paragraph;z-index:15729152" id="docshape14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1"/>
          <w:sz w:val="19"/>
        </w:rPr>
        <w:t> </w:t>
      </w:r>
      <w:r>
        <w:rPr>
          <w:color w:val="6E6158"/>
          <w:sz w:val="19"/>
        </w:rPr>
        <w:t>University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San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Diego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School</w:t>
      </w:r>
      <w:r>
        <w:rPr>
          <w:color w:val="6E6158"/>
          <w:spacing w:val="5"/>
          <w:sz w:val="19"/>
        </w:rPr>
        <w:t> </w:t>
      </w:r>
      <w:r>
        <w:rPr>
          <w:color w:val="6E6158"/>
          <w:sz w:val="19"/>
        </w:rPr>
        <w:t>of</w:t>
      </w:r>
      <w:r>
        <w:rPr>
          <w:color w:val="6E6158"/>
          <w:spacing w:val="4"/>
          <w:sz w:val="19"/>
        </w:rPr>
        <w:t> </w:t>
      </w:r>
      <w:r>
        <w:rPr>
          <w:color w:val="6E6158"/>
          <w:sz w:val="19"/>
        </w:rPr>
        <w:t>Law,</w:t>
      </w:r>
      <w:r>
        <w:rPr>
          <w:color w:val="6E6158"/>
          <w:spacing w:val="4"/>
          <w:sz w:val="19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1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2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80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173919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94458pt;width:1.65pt;height:1.65pt;mso-position-horizontal-relative:page;mso-position-vertical-relative:paragraph;z-index:15729664" id="docshape15" coordorigin="1675,274" coordsize="33,33" path="m1696,306l1687,306,1683,305,1676,298,1675,295,1675,286,1676,282,1683,275,1687,274,1696,274,1699,275,1706,282,1707,286,1707,290,1707,295,1706,298,1699,305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3"/>
        </w:rPr>
        <w:t> </w:t>
      </w:r>
      <w:r>
        <w:rPr>
          <w:color w:val="6E6158"/>
        </w:rPr>
        <w:t>California</w:t>
      </w:r>
      <w:r>
        <w:rPr>
          <w:color w:val="6E6158"/>
          <w:spacing w:val="14"/>
        </w:rPr>
        <w:t> </w:t>
      </w:r>
      <w:r>
        <w:rPr>
          <w:color w:val="6E6158"/>
        </w:rPr>
        <w:t>State</w:t>
      </w:r>
      <w:r>
        <w:rPr>
          <w:color w:val="6E6158"/>
          <w:spacing w:val="13"/>
        </w:rPr>
        <w:t> </w:t>
      </w:r>
      <w:r>
        <w:rPr>
          <w:color w:val="6E6158"/>
        </w:rPr>
        <w:t>University,</w:t>
      </w:r>
      <w:r>
        <w:rPr>
          <w:color w:val="6E6158"/>
          <w:spacing w:val="14"/>
        </w:rPr>
        <w:t> </w:t>
      </w:r>
      <w:r>
        <w:rPr>
          <w:color w:val="6E6158"/>
        </w:rPr>
        <w:t>San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Bernardino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420" w:lineRule="auto" w:before="1"/>
        <w:ind w:left="356" w:right="777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59949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20441pt;width:1.65pt;height:1.65pt;mso-position-horizontal-relative:page;mso-position-vertical-relative:paragraph;z-index:15730176" id="docshape16" coordorigin="1675,94" coordsize="33,33" path="m1696,127l1687,127,1683,125,1676,119,1675,115,1675,106,1676,102,1683,96,1687,94,1696,94,1699,96,1706,102,1707,106,1707,111,1707,115,1706,119,1699,125,1696,1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318315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06419pt;width:1.65pt;height:1.65pt;mso-position-horizontal-relative:page;mso-position-vertical-relative:paragraph;z-index:15730688" id="docshape17" coordorigin="1675,501" coordsize="33,33" path="m1696,534l1687,534,1683,532,1676,526,1675,522,1675,513,1676,509,1683,503,1687,501,1696,501,1699,503,1706,509,1707,513,1707,518,1707,522,1706,526,1699,532,1696,5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576680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5.40794pt;width:1.65pt;height:1.65pt;mso-position-horizontal-relative:page;mso-position-vertical-relative:paragraph;z-index:15731200" id="docshape18" coordorigin="1675,908" coordsize="33,33" path="m1696,941l1687,941,1683,939,1676,933,1675,929,1675,920,1676,916,1683,910,1687,908,1696,908,1699,910,1706,916,1707,920,1707,924,1707,929,1706,933,1699,939,1696,94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Land Use Land Use Real</w:t>
      </w:r>
      <w:r>
        <w:rPr>
          <w:color w:val="6E6158"/>
          <w:spacing w:val="-9"/>
        </w:rPr>
        <w:t> </w:t>
      </w:r>
      <w:r>
        <w:rPr>
          <w:color w:val="6E6158"/>
        </w:rPr>
        <w:t>Estate</w:t>
      </w:r>
    </w:p>
    <w:p>
      <w:pPr>
        <w:pStyle w:val="BodyText"/>
        <w:spacing w:line="427" w:lineRule="auto"/>
        <w:ind w:left="356" w:right="67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57800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51237pt;width:1.65pt;height:1.65pt;mso-position-horizontal-relative:page;mso-position-vertical-relative:paragraph;z-index:15731712" id="docshape19" coordorigin="1675,91" coordsize="33,33" path="m1696,124l1687,124,1683,122,1676,116,1675,112,1675,103,1676,99,1683,93,1687,91,1696,91,1699,93,1706,99,1707,103,1707,107,1707,112,1706,116,1699,122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321333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01861pt;width:1.65pt;height:1.65pt;mso-position-horizontal-relative:page;mso-position-vertical-relative:paragraph;z-index:15732224" id="docshape20" coordorigin="1675,506" coordsize="33,33" path="m1696,539l1687,539,1683,537,1676,531,1675,527,1675,518,1676,514,1683,508,1687,506,1696,506,1699,508,1706,514,1707,518,1707,522,1707,527,1706,531,1699,537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</w:t>
      </w:r>
      <w:r>
        <w:rPr>
          <w:color w:val="6E6158"/>
        </w:rPr>
        <w:t>Resources Mining Law</w:t>
      </w:r>
    </w:p>
    <w:p>
      <w:pPr>
        <w:pStyle w:val="Heading1"/>
        <w:spacing w:before="15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152725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5639pt;width:1.65pt;height:1.65pt;mso-position-horizontal-relative:page;mso-position-vertical-relative:paragraph;z-index:15732736" id="docshape21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Mining</w:t>
      </w:r>
      <w:r>
        <w:rPr>
          <w:color w:val="6E6158"/>
          <w:spacing w:val="14"/>
        </w:rPr>
        <w:t> </w:t>
      </w:r>
      <w:r>
        <w:rPr>
          <w:color w:val="6E6158"/>
        </w:rPr>
        <w:t>Counsel</w:t>
      </w:r>
      <w:r>
        <w:rPr>
          <w:color w:val="6E6158"/>
          <w:spacing w:val="14"/>
        </w:rPr>
        <w:t> </w:t>
      </w:r>
      <w:r>
        <w:rPr>
          <w:color w:val="6E6158"/>
        </w:rPr>
        <w:t>for</w:t>
      </w:r>
      <w:r>
        <w:rPr>
          <w:color w:val="6E6158"/>
          <w:spacing w:val="14"/>
        </w:rPr>
        <w:t> </w:t>
      </w:r>
      <w:r>
        <w:rPr>
          <w:color w:val="6E6158"/>
        </w:rPr>
        <w:t>Mitsubishi</w:t>
      </w:r>
      <w:r>
        <w:rPr>
          <w:color w:val="6E6158"/>
          <w:spacing w:val="14"/>
        </w:rPr>
        <w:t> </w:t>
      </w:r>
      <w:r>
        <w:rPr>
          <w:color w:val="6E6158"/>
        </w:rPr>
        <w:t>Cement</w:t>
      </w:r>
      <w:r>
        <w:rPr>
          <w:color w:val="6E6158"/>
          <w:spacing w:val="15"/>
        </w:rPr>
        <w:t> </w:t>
      </w:r>
      <w:r>
        <w:rPr>
          <w:color w:val="6E6158"/>
        </w:rPr>
        <w:t>South</w:t>
      </w:r>
      <w:r>
        <w:rPr>
          <w:color w:val="6E6158"/>
          <w:spacing w:val="14"/>
        </w:rPr>
        <w:t> </w:t>
      </w:r>
      <w:r>
        <w:rPr>
          <w:color w:val="6E6158"/>
        </w:rPr>
        <w:t>Quarry</w:t>
      </w:r>
      <w:r>
        <w:rPr>
          <w:color w:val="6E6158"/>
          <w:spacing w:val="14"/>
        </w:rPr>
        <w:t> </w:t>
      </w:r>
      <w:r>
        <w:rPr>
          <w:color w:val="6E6158"/>
        </w:rPr>
        <w:t>Expansion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Project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152459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465pt;width:1.65pt;height:1.65pt;mso-position-horizontal-relative:page;mso-position-vertical-relative:paragraph;z-index:15733248" id="docshape22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Reporter,</w:t>
      </w:r>
      <w:r>
        <w:rPr>
          <w:color w:val="6E6158"/>
          <w:spacing w:val="12"/>
        </w:rPr>
        <w:t> </w:t>
      </w:r>
      <w:r>
        <w:rPr>
          <w:color w:val="6E6158"/>
        </w:rPr>
        <w:t>Rocky</w:t>
      </w:r>
      <w:r>
        <w:rPr>
          <w:color w:val="6E6158"/>
          <w:spacing w:val="12"/>
        </w:rPr>
        <w:t> </w:t>
      </w:r>
      <w:r>
        <w:rPr>
          <w:color w:val="6E6158"/>
        </w:rPr>
        <w:t>Mountain</w:t>
      </w:r>
      <w:r>
        <w:rPr>
          <w:color w:val="6E6158"/>
          <w:spacing w:val="12"/>
        </w:rPr>
        <w:t> </w:t>
      </w:r>
      <w:r>
        <w:rPr>
          <w:color w:val="6E6158"/>
        </w:rPr>
        <w:t>Mineral</w:t>
      </w:r>
      <w:r>
        <w:rPr>
          <w:color w:val="6E6158"/>
          <w:spacing w:val="12"/>
        </w:rPr>
        <w:t> </w:t>
      </w:r>
      <w:r>
        <w:rPr>
          <w:color w:val="6E6158"/>
        </w:rPr>
        <w:t>Law</w:t>
      </w:r>
      <w:r>
        <w:rPr>
          <w:color w:val="6E6158"/>
          <w:spacing w:val="12"/>
        </w:rPr>
        <w:t> </w:t>
      </w:r>
      <w:r>
        <w:rPr>
          <w:color w:val="6E6158"/>
        </w:rPr>
        <w:t>Foundation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Newsletter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left="356" w:right="345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152914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537pt;width:1.65pt;height:1.65pt;mso-position-horizontal-relative:page;mso-position-vertical-relative:paragraph;z-index:15733760" id="docshape2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411280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84285pt;width:1.65pt;height:1.65pt;mso-position-horizontal-relative:page;mso-position-vertical-relative:paragraph;z-index:15734272" id="docshape24" coordorigin="1675,648" coordsize="33,33" path="m1696,680l1687,680,1683,679,1676,672,1675,668,1675,659,1676,656,1683,649,1687,648,1696,648,1699,649,1706,656,1707,659,1707,664,1707,668,1706,672,1699,679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Association of Environmental </w:t>
      </w:r>
      <w:r>
        <w:rPr>
          <w:color w:val="6E6158"/>
        </w:rPr>
        <w:t>Professionals Member, CalCIMA Legal Action Committee</w:t>
      </w:r>
    </w:p>
    <w:p>
      <w:pPr>
        <w:pStyle w:val="BodyText"/>
        <w:spacing w:line="427" w:lineRule="auto"/>
        <w:ind w:left="356" w:right="234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58560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1067pt;width:1.65pt;height:1.65pt;mso-position-horizontal-relative:page;mso-position-vertical-relative:paragraph;z-index:15734784" id="docshape25" coordorigin="1675,92" coordsize="33,33" path="m1696,125l1687,125,1683,123,1676,117,1675,113,1675,104,1676,100,1683,94,1687,92,1696,92,1699,94,1706,100,1707,104,1707,108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322093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61692pt;width:1.65pt;height:1.65pt;mso-position-horizontal-relative:page;mso-position-vertical-relative:paragraph;z-index:15735296" id="docshape26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The State Bar of California, Environmental Law </w:t>
      </w:r>
      <w:r>
        <w:rPr>
          <w:color w:val="6E6158"/>
        </w:rPr>
        <w:t>Section Member, Rocky Mountain Mineral Law Foundation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53843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239611pt;width:1.65pt;height:1.65pt;mso-position-horizontal-relative:page;mso-position-vertical-relative:paragraph;z-index:15735808" id="docshape27" coordorigin="1675,85" coordsize="33,33" path="m1696,117l1687,117,1683,116,1676,109,1675,106,1675,97,1676,93,1683,86,1687,85,1696,85,1699,86,1706,93,1707,97,1707,101,1707,106,1706,109,1699,116,1696,11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0"/>
        </w:rPr>
        <w:t> </w:t>
      </w:r>
      <w:r>
        <w:rPr>
          <w:color w:val="6E6158"/>
        </w:rPr>
        <w:t>SOAR</w:t>
      </w:r>
      <w:r>
        <w:rPr>
          <w:color w:val="6E6158"/>
          <w:spacing w:val="10"/>
        </w:rPr>
        <w:t> </w:t>
      </w:r>
      <w:r>
        <w:rPr>
          <w:color w:val="6E6158"/>
        </w:rPr>
        <w:t>Charter</w:t>
      </w:r>
      <w:r>
        <w:rPr>
          <w:color w:val="6E6158"/>
          <w:spacing w:val="9"/>
        </w:rPr>
        <w:t> </w:t>
      </w:r>
      <w:r>
        <w:rPr>
          <w:color w:val="6E6158"/>
        </w:rPr>
        <w:t>Academy</w:t>
      </w:r>
      <w:r>
        <w:rPr>
          <w:color w:val="6E6158"/>
          <w:spacing w:val="10"/>
        </w:rPr>
        <w:t> </w:t>
      </w:r>
      <w:r>
        <w:rPr>
          <w:color w:val="6E6158"/>
        </w:rPr>
        <w:t>Board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Directors</w:t>
      </w:r>
    </w:p>
    <w:p>
      <w:pPr>
        <w:pStyle w:val="BodyText"/>
        <w:spacing w:before="39"/>
        <w:rPr>
          <w:sz w:val="24"/>
        </w:rPr>
      </w:pPr>
    </w:p>
    <w:p>
      <w:pPr>
        <w:pStyle w:val="Heading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152909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092pt;width:1.65pt;height:1.65pt;mso-position-horizontal-relative:page;mso-position-vertical-relative:paragraph;z-index:15736320" id="docshape28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land-use/" TargetMode="External"/><Relationship Id="rId9" Type="http://schemas.openxmlformats.org/officeDocument/2006/relationships/hyperlink" Target="https://www.fennemorelaw.com/contact-us/san-bernardino/" TargetMode="External"/><Relationship Id="rId10" Type="http://schemas.openxmlformats.org/officeDocument/2006/relationships/hyperlink" Target="mailto:dcollier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2025-01-07T15:26:28Z</dcterms:created>
  <dcterms:modified xsi:type="dcterms:W3CDTF">2025-01-07T15:26:28Z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