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24" w:right="72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GERALD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SHELLEY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602.916.5439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602.916.5639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gshelley@fennemorelaw.com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24" w:right="72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GERALD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SHELLEY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602.916.5439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602.916.5639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gshelley@fennemorelaw.com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GERALD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L.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SHELLEY</w:t>
      </w:r>
    </w:p>
    <w:p>
      <w:pPr>
        <w:pStyle w:val="BodyText"/>
        <w:spacing w:line="302" w:lineRule="auto" w:before="147"/>
        <w:ind w:left="104" w:right="760"/>
      </w:pPr>
      <w:r>
        <w:rPr>
          <w:color w:val="333333"/>
        </w:rPr>
        <w:t>Gerald practices in the areas of commercial bankruptcy, litigation and business </w:t>
      </w:r>
      <w:r>
        <w:rPr>
          <w:color w:val="333333"/>
        </w:rPr>
        <w:t>restructuring</w:t>
      </w:r>
      <w:r>
        <w:rPr>
          <w:color w:val="333333"/>
          <w:spacing w:val="40"/>
        </w:rPr>
        <w:t> </w:t>
      </w:r>
      <w:r>
        <w:rPr>
          <w:color w:val="333333"/>
        </w:rPr>
        <w:t>and</w:t>
      </w:r>
      <w:r>
        <w:rPr>
          <w:color w:val="333333"/>
          <w:spacing w:val="31"/>
        </w:rPr>
        <w:t> </w:t>
      </w:r>
      <w:r>
        <w:rPr>
          <w:color w:val="333333"/>
        </w:rPr>
        <w:t>reorganization.</w:t>
      </w:r>
      <w:r>
        <w:rPr>
          <w:color w:val="333333"/>
          <w:spacing w:val="31"/>
        </w:rPr>
        <w:t> </w:t>
      </w:r>
      <w:r>
        <w:rPr>
          <w:color w:val="333333"/>
        </w:rPr>
        <w:t>He</w:t>
      </w:r>
      <w:r>
        <w:rPr>
          <w:color w:val="333333"/>
          <w:spacing w:val="31"/>
        </w:rPr>
        <w:t> </w:t>
      </w:r>
      <w:r>
        <w:rPr>
          <w:color w:val="333333"/>
        </w:rPr>
        <w:t>has</w:t>
      </w:r>
      <w:r>
        <w:rPr>
          <w:color w:val="333333"/>
          <w:spacing w:val="31"/>
        </w:rPr>
        <w:t> </w:t>
      </w:r>
      <w:r>
        <w:rPr>
          <w:color w:val="333333"/>
        </w:rPr>
        <w:t>handled</w:t>
      </w:r>
      <w:r>
        <w:rPr>
          <w:color w:val="333333"/>
          <w:spacing w:val="31"/>
        </w:rPr>
        <w:t> </w:t>
      </w:r>
      <w:r>
        <w:rPr>
          <w:color w:val="333333"/>
        </w:rPr>
        <w:t>insolvency</w:t>
      </w:r>
      <w:r>
        <w:rPr>
          <w:color w:val="333333"/>
          <w:spacing w:val="31"/>
        </w:rPr>
        <w:t> </w:t>
      </w:r>
      <w:r>
        <w:rPr>
          <w:color w:val="333333"/>
        </w:rPr>
        <w:t>and</w:t>
      </w:r>
      <w:r>
        <w:rPr>
          <w:color w:val="333333"/>
          <w:spacing w:val="31"/>
        </w:rPr>
        <w:t> </w:t>
      </w:r>
      <w:r>
        <w:rPr>
          <w:color w:val="333333"/>
        </w:rPr>
        <w:t>reorganization</w:t>
      </w:r>
      <w:r>
        <w:rPr>
          <w:color w:val="333333"/>
          <w:spacing w:val="31"/>
        </w:rPr>
        <w:t> </w:t>
      </w:r>
      <w:r>
        <w:rPr>
          <w:color w:val="333333"/>
        </w:rPr>
        <w:t>cases</w:t>
      </w:r>
      <w:r>
        <w:rPr>
          <w:color w:val="333333"/>
          <w:spacing w:val="31"/>
        </w:rPr>
        <w:t> </w:t>
      </w:r>
      <w:r>
        <w:rPr>
          <w:color w:val="333333"/>
        </w:rPr>
        <w:t>in</w:t>
      </w:r>
      <w:r>
        <w:rPr>
          <w:color w:val="333333"/>
          <w:spacing w:val="31"/>
        </w:rPr>
        <w:t> </w:t>
      </w:r>
      <w:r>
        <w:rPr>
          <w:color w:val="333333"/>
        </w:rPr>
        <w:t>a</w:t>
      </w:r>
      <w:r>
        <w:rPr>
          <w:color w:val="333333"/>
          <w:spacing w:val="31"/>
        </w:rPr>
        <w:t> </w:t>
      </w:r>
      <w:r>
        <w:rPr>
          <w:color w:val="333333"/>
        </w:rPr>
        <w:t>variety</w:t>
      </w:r>
      <w:r>
        <w:rPr>
          <w:color w:val="333333"/>
          <w:spacing w:val="31"/>
        </w:rPr>
        <w:t> </w:t>
      </w:r>
      <w:r>
        <w:rPr>
          <w:color w:val="333333"/>
        </w:rPr>
        <w:t>of</w:t>
      </w:r>
    </w:p>
    <w:p>
      <w:pPr>
        <w:pStyle w:val="BodyText"/>
        <w:spacing w:line="224" w:lineRule="exact"/>
        <w:ind w:left="104"/>
      </w:pPr>
      <w:r>
        <w:rPr>
          <w:color w:val="333333"/>
        </w:rPr>
        <w:t>industries,</w:t>
      </w:r>
      <w:r>
        <w:rPr>
          <w:color w:val="333333"/>
          <w:spacing w:val="16"/>
        </w:rPr>
        <w:t> </w:t>
      </w:r>
      <w:r>
        <w:rPr>
          <w:color w:val="333333"/>
        </w:rPr>
        <w:t>including</w:t>
      </w:r>
      <w:r>
        <w:rPr>
          <w:color w:val="333333"/>
          <w:spacing w:val="17"/>
        </w:rPr>
        <w:t> </w:t>
      </w:r>
      <w:r>
        <w:rPr>
          <w:color w:val="333333"/>
        </w:rPr>
        <w:t>real</w:t>
      </w:r>
      <w:r>
        <w:rPr>
          <w:color w:val="333333"/>
          <w:spacing w:val="17"/>
        </w:rPr>
        <w:t> </w:t>
      </w:r>
      <w:r>
        <w:rPr>
          <w:color w:val="333333"/>
        </w:rPr>
        <w:t>estate,</w:t>
      </w:r>
      <w:r>
        <w:rPr>
          <w:color w:val="333333"/>
          <w:spacing w:val="17"/>
        </w:rPr>
        <w:t> </w:t>
      </w:r>
      <w:r>
        <w:rPr>
          <w:color w:val="333333"/>
        </w:rPr>
        <w:t>agriculture,</w:t>
      </w:r>
      <w:r>
        <w:rPr>
          <w:color w:val="333333"/>
          <w:spacing w:val="16"/>
        </w:rPr>
        <w:t> </w:t>
      </w:r>
      <w:r>
        <w:rPr>
          <w:color w:val="333333"/>
        </w:rPr>
        <w:t>mining,</w:t>
      </w:r>
      <w:r>
        <w:rPr>
          <w:color w:val="333333"/>
          <w:spacing w:val="17"/>
        </w:rPr>
        <w:t> </w:t>
      </w:r>
      <w:r>
        <w:rPr>
          <w:color w:val="333333"/>
        </w:rPr>
        <w:t>transportation,</w:t>
      </w:r>
      <w:r>
        <w:rPr>
          <w:color w:val="333333"/>
          <w:spacing w:val="17"/>
        </w:rPr>
        <w:t> </w:t>
      </w:r>
      <w:r>
        <w:rPr>
          <w:color w:val="333333"/>
        </w:rPr>
        <w:t>retail,</w:t>
      </w:r>
      <w:r>
        <w:rPr>
          <w:color w:val="333333"/>
          <w:spacing w:val="17"/>
        </w:rPr>
        <w:t> </w:t>
      </w:r>
      <w:r>
        <w:rPr>
          <w:color w:val="333333"/>
        </w:rPr>
        <w:t>franchising</w:t>
      </w:r>
      <w:r>
        <w:rPr>
          <w:color w:val="333333"/>
          <w:spacing w:val="17"/>
        </w:rPr>
        <w:t> </w:t>
      </w:r>
      <w:r>
        <w:rPr>
          <w:color w:val="333333"/>
          <w:spacing w:val="-5"/>
        </w:rPr>
        <w:t>and</w:t>
      </w:r>
    </w:p>
    <w:p>
      <w:pPr>
        <w:pStyle w:val="BodyText"/>
        <w:spacing w:line="295" w:lineRule="auto" w:before="52"/>
        <w:ind w:left="104" w:right="760"/>
      </w:pPr>
      <w:r>
        <w:rPr>
          <w:color w:val="333333"/>
        </w:rPr>
        <w:t>licensing, health care, manufacturing, non-profit, and e-commerce. He represents lenders,</w:t>
      </w:r>
      <w:r>
        <w:rPr>
          <w:color w:val="333333"/>
          <w:spacing w:val="40"/>
        </w:rPr>
        <w:t> </w:t>
      </w:r>
      <w:r>
        <w:rPr>
          <w:color w:val="333333"/>
        </w:rPr>
        <w:t>secured and unsecured, committees, debtors, trustees, examiners, purchasers and other </w:t>
      </w:r>
      <w:r>
        <w:rPr>
          <w:color w:val="333333"/>
        </w:rPr>
        <w:t>parties</w:t>
      </w:r>
      <w:r>
        <w:rPr>
          <w:color w:val="333333"/>
          <w:spacing w:val="40"/>
        </w:rPr>
        <w:t> </w:t>
      </w:r>
      <w:r>
        <w:rPr>
          <w:color w:val="333333"/>
        </w:rPr>
        <w:t>affected by or connected to an insolvency or bankruptcy. He has also handled cross-border</w:t>
      </w:r>
      <w:r>
        <w:rPr>
          <w:color w:val="333333"/>
          <w:spacing w:val="40"/>
        </w:rPr>
        <w:t> </w:t>
      </w:r>
      <w:r>
        <w:rPr>
          <w:color w:val="333333"/>
        </w:rPr>
        <w:t>insolvency issues involving Canada, Europe, Asia, and Latin America, where his Spanish fluency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assists.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157614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611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2"/>
        </w:rPr>
        <w:t> </w:t>
      </w:r>
      <w:r>
        <w:rPr>
          <w:color w:val="6E6158"/>
        </w:rPr>
        <w:t>Sandra</w:t>
      </w:r>
      <w:r>
        <w:rPr>
          <w:color w:val="6E6158"/>
          <w:spacing w:val="13"/>
        </w:rPr>
        <w:t> </w:t>
      </w:r>
      <w:r>
        <w:rPr>
          <w:color w:val="6E6158"/>
        </w:rPr>
        <w:t>Day</w:t>
      </w:r>
      <w:r>
        <w:rPr>
          <w:color w:val="6E6158"/>
          <w:spacing w:val="13"/>
        </w:rPr>
        <w:t> </w:t>
      </w:r>
      <w:r>
        <w:rPr>
          <w:color w:val="6E6158"/>
        </w:rPr>
        <w:t>O’Connor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170264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655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428630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50404pt;width:1.65pt;height:1.65pt;mso-position-horizontal-relative:page;mso-position-vertical-relative:paragraph;z-index:15730176" id="docshape9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 Brigham Young </w:t>
      </w:r>
      <w:r>
        <w:rPr>
          <w:color w:val="6E6158"/>
        </w:rPr>
        <w:t>University</w:t>
      </w:r>
      <w:r>
        <w:rPr>
          <w:color w:val="6E6158"/>
        </w:rPr>
        <w:t> Omicron Delta Epsilon</w:t>
      </w:r>
    </w:p>
    <w:p>
      <w:pPr>
        <w:pStyle w:val="BodyText"/>
        <w:spacing w:line="302" w:lineRule="auto"/>
        <w:ind w:right="6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58765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7186pt;width:1.65pt;height:1.65pt;mso-position-horizontal-relative:page;mso-position-vertical-relative:paragraph;z-index:15730688" id="docshape10" coordorigin="1675,93" coordsize="33,33" path="m1696,125l1687,125,1683,124,1676,117,1675,113,1675,104,1676,100,1683,94,1687,93,1696,93,1699,94,1706,100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 clerk to the Honorable Robert G. Mooreman, Chief U.S. Bankruptcy Judge, District </w:t>
      </w:r>
      <w:r>
        <w:rPr>
          <w:color w:val="6E6158"/>
        </w:rPr>
        <w:t>of Arizona 1985-1987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130380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66218pt;width:1.65pt;height:1.65pt;mso-position-horizontal-relative:page;mso-position-vertical-relative:paragraph;z-index:15731200" id="docshape11" coordorigin="1675,205" coordsize="33,33" path="m1696,238l1687,238,1683,236,1676,230,1675,226,1675,217,1676,213,1683,207,1687,205,1696,205,1699,207,1706,213,1707,217,1707,222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Nationally</w:t>
      </w:r>
      <w:r>
        <w:rPr>
          <w:color w:val="6E6158"/>
          <w:spacing w:val="12"/>
        </w:rPr>
        <w:t> </w:t>
      </w:r>
      <w:r>
        <w:rPr>
          <w:color w:val="6E6158"/>
        </w:rPr>
        <w:t>Certified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Certification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/>
        <w:ind w:right="75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59590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2201pt;width:1.65pt;height:1.65pt;mso-position-horizontal-relative:page;mso-position-vertical-relative:paragraph;z-index:15731712" id="docshape12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317956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595pt;width:1.65pt;height:1.65pt;mso-position-horizontal-relative:page;mso-position-vertical-relative:paragraph;z-index:15732224" id="docshape13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 Litigation</w:t>
      </w:r>
    </w:p>
    <w:p>
      <w:pPr>
        <w:pStyle w:val="BodyText"/>
        <w:spacing w:line="427" w:lineRule="auto"/>
        <w:ind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58581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731pt;width:1.65pt;height:1.65pt;mso-position-horizontal-relative:page;mso-position-vertical-relative:paragraph;z-index:15732736" id="docshape14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322114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356pt;width:1.65pt;height:1.65pt;mso-position-horizontal-relative:page;mso-position-vertical-relative:paragraph;z-index:15733248" id="docshape15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5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5"/>
        <w:ind w:right="25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321100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83468pt;width:1.65pt;height:1.65pt;mso-position-horizontal-relative:page;mso-position-vertical-relative:paragraph;z-index:15733760" id="docshape17" coordorigin="1675,506" coordsize="33,33" path="m1696,538l1687,538,1683,537,1676,530,1675,526,1675,517,1676,514,1683,507,1687,506,1696,506,1699,507,1706,514,1707,517,1707,522,1707,526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Reorganized several golf courses in the greater Phoenix </w:t>
      </w:r>
      <w:r>
        <w:rPr>
          <w:color w:val="6E6158"/>
        </w:rPr>
        <w:t>area. Represented banks and private lenders seeking stay relief.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63717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7125pt;width:1.65pt;height:1.65pt;mso-position-horizontal-relative:page;mso-position-vertical-relative:paragraph;z-index:15734272" id="docshape1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Wall</w:t>
      </w:r>
      <w:r>
        <w:rPr>
          <w:color w:val="6E6158"/>
          <w:spacing w:val="12"/>
        </w:rPr>
        <w:t> </w:t>
      </w:r>
      <w:r>
        <w:rPr>
          <w:color w:val="6E6158"/>
        </w:rPr>
        <w:t>Street</w:t>
      </w:r>
      <w:r>
        <w:rPr>
          <w:color w:val="6E6158"/>
          <w:spacing w:val="11"/>
        </w:rPr>
        <w:t> </w:t>
      </w:r>
      <w:r>
        <w:rPr>
          <w:color w:val="6E6158"/>
        </w:rPr>
        <w:t>lender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“Zone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Insolvency”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line="420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169712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169pt;width:1.65pt;height:1.65pt;mso-position-horizontal-relative:page;mso-position-vertical-relative:paragraph;z-index:15734784" id="docshape1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428077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6917pt;width:1.65pt;height:1.65pt;mso-position-horizontal-relative:page;mso-position-vertical-relative:paragraph;z-index:15735296" id="docshape20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official committee in hedge fund bankruptcy with Ponzi Scheme implications</w:t>
      </w:r>
      <w:r>
        <w:rPr>
          <w:color w:val="6E6158"/>
          <w:spacing w:val="40"/>
        </w:rPr>
        <w:t> </w:t>
      </w:r>
      <w:r>
        <w:rPr>
          <w:color w:val="6E6158"/>
        </w:rPr>
        <w:t>Represented</w:t>
      </w:r>
      <w:r>
        <w:rPr>
          <w:color w:val="6E6158"/>
          <w:spacing w:val="38"/>
        </w:rPr>
        <w:t> </w:t>
      </w:r>
      <w:r>
        <w:rPr>
          <w:color w:val="6E6158"/>
        </w:rPr>
        <w:t>parties</w:t>
      </w:r>
      <w:r>
        <w:rPr>
          <w:color w:val="6E6158"/>
          <w:spacing w:val="38"/>
        </w:rPr>
        <w:t> </w:t>
      </w:r>
      <w:r>
        <w:rPr>
          <w:color w:val="6E6158"/>
        </w:rPr>
        <w:t>with</w:t>
      </w:r>
      <w:r>
        <w:rPr>
          <w:color w:val="6E6158"/>
          <w:spacing w:val="38"/>
        </w:rPr>
        <w:t> </w:t>
      </w:r>
      <w:r>
        <w:rPr>
          <w:color w:val="6E6158"/>
        </w:rPr>
        <w:t>interests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airline</w:t>
      </w:r>
      <w:r>
        <w:rPr>
          <w:color w:val="6E6158"/>
          <w:spacing w:val="38"/>
        </w:rPr>
        <w:t> </w:t>
      </w:r>
      <w:r>
        <w:rPr>
          <w:color w:val="6E6158"/>
        </w:rPr>
        <w:t>bankruptcies,</w:t>
      </w:r>
      <w:r>
        <w:rPr>
          <w:color w:val="6E6158"/>
          <w:spacing w:val="38"/>
        </w:rPr>
        <w:t> </w:t>
      </w:r>
      <w:r>
        <w:rPr>
          <w:color w:val="6E6158"/>
        </w:rPr>
        <w:t>both</w:t>
      </w:r>
      <w:r>
        <w:rPr>
          <w:color w:val="6E6158"/>
          <w:spacing w:val="38"/>
        </w:rPr>
        <w:t> </w:t>
      </w:r>
      <w:r>
        <w:rPr>
          <w:color w:val="6E6158"/>
        </w:rPr>
        <w:t>national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international.</w:t>
      </w:r>
    </w:p>
    <w:p>
      <w:pPr>
        <w:pStyle w:val="BodyText"/>
        <w:spacing w:line="302" w:lineRule="auto"/>
        <w:ind w:right="6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58212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37pt;width:1.65pt;height:1.65pt;mso-position-horizontal-relative:page;mso-position-vertical-relative:paragraph;z-index:15735808" id="docshape21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international financial institution in its defense of a cramdown plan relating to</w:t>
      </w:r>
      <w:r>
        <w:rPr>
          <w:color w:val="6E6158"/>
          <w:spacing w:val="40"/>
        </w:rPr>
        <w:t> </w:t>
      </w:r>
      <w:r>
        <w:rPr>
          <w:color w:val="6E6158"/>
        </w:rPr>
        <w:t>low income housing apartments.</w:t>
      </w:r>
    </w:p>
    <w:p>
      <w:pPr>
        <w:pStyle w:val="BodyText"/>
        <w:spacing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129828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22732pt;width:1.65pt;height:1.65pt;mso-position-horizontal-relative:page;mso-position-vertical-relative:paragraph;z-index:15736320" id="docshape22" coordorigin="1675,204" coordsize="33,33" path="m1696,237l1687,237,1683,235,1676,229,1675,225,1675,216,1676,212,1683,206,1687,204,1696,204,1699,206,1706,212,1707,216,1707,221,1707,225,1706,229,1699,235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various</w:t>
      </w:r>
      <w:r>
        <w:rPr>
          <w:color w:val="6E6158"/>
          <w:spacing w:val="15"/>
        </w:rPr>
        <w:t> </w:t>
      </w:r>
      <w:r>
        <w:rPr>
          <w:color w:val="6E6158"/>
        </w:rPr>
        <w:t>defendants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large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complex</w:t>
      </w:r>
      <w:r>
        <w:rPr>
          <w:color w:val="6E6158"/>
          <w:spacing w:val="15"/>
        </w:rPr>
        <w:t> </w:t>
      </w:r>
      <w:r>
        <w:rPr>
          <w:color w:val="6E6158"/>
        </w:rPr>
        <w:t>preference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avoidance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cases.</w:t>
      </w:r>
    </w:p>
    <w:p>
      <w:pPr>
        <w:pStyle w:val="BodyText"/>
        <w:spacing w:line="292" w:lineRule="auto" w:before="174"/>
        <w:ind w:right="6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169783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775pt;width:1.65pt;height:1.65pt;mso-position-horizontal-relative:page;mso-position-vertical-relative:paragraph;z-index:15736832" id="docshape2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utility companies in rearranging or terminating contracts with Enron </w:t>
      </w:r>
      <w:r>
        <w:rPr>
          <w:color w:val="6E6158"/>
        </w:rPr>
        <w:t>Power Marketing Corporation.</w:t>
      </w:r>
    </w:p>
    <w:p>
      <w:pPr>
        <w:pStyle w:val="BodyText"/>
        <w:spacing w:line="292" w:lineRule="auto" w:before="131"/>
        <w:ind w:right="6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142743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624pt;width:1.65pt;height:1.65pt;mso-position-horizontal-relative:page;mso-position-vertical-relative:paragraph;z-index:15737344" id="docshape2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State of Arizona’s health care agency in dealing with a hospital in Chapter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11.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152393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455pt;width:1.65pt;height:1.65pt;mso-position-horizontal-relative:page;mso-position-vertical-relative:paragraph;z-index:15737856" id="docshape2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Bankruptcy: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line="288" w:lineRule="auto" w:before="173"/>
        <w:ind w:right="6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173717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8556pt;width:1.65pt;height:1.65pt;mso-position-horizontal-relative:page;mso-position-vertical-relative:paragraph;z-index:15738368" id="docshape26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Bankruptcy and Creditor Debtor Rights, Insolvency </w:t>
      </w:r>
      <w:r>
        <w:rPr>
          <w:color w:val="6E6158"/>
        </w:rPr>
        <w:t>and Reorganization Law, Litigation – Bankruptcy, 2013-2025</w:t>
      </w:r>
    </w:p>
    <w:p>
      <w:pPr>
        <w:pStyle w:val="BodyText"/>
        <w:spacing w:before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140487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2012pt;width:1.65pt;height:1.65pt;mso-position-horizontal-relative:page;mso-position-vertical-relative:paragraph;z-index:15738880" id="docshape27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152746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312pt;width:1.65pt;height:1.65pt;mso-position-horizontal-relative:page;mso-position-vertical-relative:paragraph;z-index:15739392" id="docshape28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“Successful</w:t>
      </w:r>
      <w:r>
        <w:rPr>
          <w:color w:val="6E6158"/>
          <w:spacing w:val="10"/>
        </w:rPr>
        <w:t> </w:t>
      </w:r>
      <w:r>
        <w:rPr>
          <w:color w:val="6E6158"/>
        </w:rPr>
        <w:t>363</w:t>
      </w:r>
      <w:r>
        <w:rPr>
          <w:color w:val="6E6158"/>
          <w:spacing w:val="11"/>
        </w:rPr>
        <w:t> </w:t>
      </w:r>
      <w:r>
        <w:rPr>
          <w:color w:val="6E6158"/>
        </w:rPr>
        <w:t>Sales,”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74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Bankruptcy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11"/>
        </w:rPr>
        <w:t> </w:t>
      </w:r>
      <w:r>
        <w:rPr>
          <w:color w:val="6E6158"/>
        </w:rPr>
        <w:t>February</w:t>
      </w:r>
      <w:r>
        <w:rPr>
          <w:color w:val="6E6158"/>
          <w:spacing w:val="10"/>
        </w:rPr>
        <w:t> </w:t>
      </w:r>
      <w:r>
        <w:rPr>
          <w:color w:val="6E6158"/>
        </w:rPr>
        <w:t>1,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175008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231pt;width:1.65pt;height:1.65pt;mso-position-horizontal-relative:page;mso-position-vertical-relative:paragraph;z-index:15739904" id="docshape2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“The</w:t>
      </w:r>
      <w:r>
        <w:rPr>
          <w:color w:val="6E6158"/>
          <w:spacing w:val="12"/>
        </w:rPr>
        <w:t> </w:t>
      </w:r>
      <w:r>
        <w:rPr>
          <w:color w:val="6E6158"/>
        </w:rPr>
        <w:t>Symposium,”</w:t>
      </w:r>
      <w:r>
        <w:rPr>
          <w:color w:val="6E6158"/>
          <w:spacing w:val="12"/>
        </w:rPr>
        <w:t> </w:t>
      </w:r>
      <w:r>
        <w:rPr>
          <w:color w:val="6E6158"/>
        </w:rPr>
        <w:t>M&amp;A</w:t>
      </w:r>
      <w:r>
        <w:rPr>
          <w:color w:val="6E6158"/>
          <w:spacing w:val="12"/>
        </w:rPr>
        <w:t> </w:t>
      </w:r>
      <w:r>
        <w:rPr>
          <w:color w:val="6E6158"/>
        </w:rPr>
        <w:t>Advisor</w:t>
      </w:r>
      <w:r>
        <w:rPr>
          <w:color w:val="6E6158"/>
          <w:spacing w:val="12"/>
        </w:rPr>
        <w:t> </w:t>
      </w:r>
      <w:r>
        <w:rPr>
          <w:color w:val="6E6158"/>
        </w:rPr>
        <w:t>2017</w:t>
      </w:r>
      <w:r>
        <w:rPr>
          <w:color w:val="6E6158"/>
          <w:spacing w:val="12"/>
        </w:rPr>
        <w:t> </w:t>
      </w:r>
      <w:r>
        <w:rPr>
          <w:color w:val="6E6158"/>
        </w:rPr>
        <w:t>Distressed</w:t>
      </w:r>
      <w:r>
        <w:rPr>
          <w:color w:val="6E6158"/>
          <w:spacing w:val="12"/>
        </w:rPr>
        <w:t> </w:t>
      </w:r>
      <w:r>
        <w:rPr>
          <w:color w:val="6E6158"/>
        </w:rPr>
        <w:t>Investing</w:t>
      </w:r>
      <w:r>
        <w:rPr>
          <w:color w:val="6E6158"/>
          <w:spacing w:val="12"/>
        </w:rPr>
        <w:t> </w:t>
      </w:r>
      <w:r>
        <w:rPr>
          <w:color w:val="6E6158"/>
        </w:rPr>
        <w:t>Summit,</w:t>
      </w:r>
      <w:r>
        <w:rPr>
          <w:color w:val="6E6158"/>
          <w:spacing w:val="12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23,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76pt;width:1.65pt;height:1.65pt;mso-position-horizontal-relative:page;mso-position-vertical-relative:paragraph;z-index:15740416" id="docshape30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Frequent lecturer at seminars sponsored by the Arizona State Bar, the Maricopa County Bar Association and Sterling Education Services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152945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982pt;width:1.65pt;height:1.65pt;mso-position-horizontal-relative:page;mso-position-vertical-relative:paragraph;z-index:15740928" id="docshape3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74"/>
        <w:ind w:right="563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170040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027pt;width:1.65pt;height:1.65pt;mso-position-horizontal-relative:page;mso-position-vertical-relative:paragraph;z-index:15741440" id="docshape3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428406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2777pt;width:1.65pt;height:1.65pt;mso-position-horizontal-relative:page;mso-position-vertical-relative:paragraph;z-index:15741952" id="docshape33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686771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076527pt;width:1.65pt;height:1.65pt;mso-position-horizontal-relative:page;mso-position-vertical-relative:paragraph;z-index:15742464" id="docshape34" coordorigin="1675,1082" coordsize="33,33" path="m1696,1114l1687,1114,1683,1112,1676,1106,1675,1102,1675,1093,1676,1089,1683,1083,1687,1082,1696,1082,1699,1083,1706,1089,1707,1093,1707,1098,1707,1102,1706,1106,1699,1112,1696,11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Bankruptcy </w:t>
      </w:r>
      <w:r>
        <w:rPr>
          <w:color w:val="6E6158"/>
        </w:rPr>
        <w:t>Institute Member, Risk Management Association Member, INSOL International</w:t>
      </w:r>
    </w:p>
    <w:p>
      <w:pPr>
        <w:pStyle w:val="BodyText"/>
        <w:spacing w:before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63204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6697pt;width:1.65pt;height:1.65pt;mso-position-horizontal-relative:page;mso-position-vertical-relative:paragraph;z-index:15742976" id="docshape35" coordorigin="1675,100" coordsize="33,33" path="m1696,132l1687,132,1683,130,1676,124,1675,120,1675,111,1676,107,1683,101,1687,100,1696,100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-2"/>
        </w:rPr>
        <w:t> </w:t>
      </w:r>
      <w:r>
        <w:rPr>
          <w:color w:val="6E6158"/>
        </w:rPr>
        <w:t>East</w:t>
      </w:r>
      <w:r>
        <w:rPr>
          <w:color w:val="6E6158"/>
          <w:spacing w:val="-1"/>
        </w:rPr>
        <w:t> </w:t>
      </w:r>
      <w:r>
        <w:rPr>
          <w:color w:val="6E6158"/>
        </w:rPr>
        <w:t>Valley</w:t>
      </w:r>
      <w:r>
        <w:rPr>
          <w:color w:val="6E6158"/>
          <w:spacing w:val="-1"/>
        </w:rPr>
        <w:t> </w:t>
      </w:r>
      <w:r>
        <w:rPr>
          <w:color w:val="6E6158"/>
          <w:spacing w:val="-2"/>
        </w:rPr>
        <w:t>Partnership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152472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71pt;width:1.65pt;height:1.65pt;mso-position-horizontal-relative:page;mso-position-vertical-relative:paragraph;z-index:15743488" id="docshape3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170202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1753pt;width:1.65pt;height:1.65pt;mso-position-horizontal-relative:page;mso-position-vertical-relative:paragraph;z-index:15744000" id="docshape3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175319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672pt;width:1.65pt;height:1.65pt;mso-position-horizontal-relative:page;mso-position-vertical-relative:paragraph;z-index:15744512" id="docshape3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292" w:lineRule="auto" w:before="174"/>
        <w:ind w:right="6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170189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717pt;width:1.65pt;height:1.65pt;mso-position-horizontal-relative:page;mso-position-vertical-relative:paragraph;z-index:15745024" id="docshape3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 hac vice admissions in other districts throughout the United States, including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</w:rPr>
        <w:t>Courts in California, Utah, Nevada, Kentucky and New York.</w:t>
      </w:r>
    </w:p>
    <w:p>
      <w:pPr>
        <w:pStyle w:val="Heading1"/>
        <w:spacing w:before="285"/>
      </w:pPr>
      <w:r>
        <w:rPr>
          <w:color w:val="FF8100"/>
          <w:spacing w:val="-2"/>
        </w:rPr>
        <w:t>LANGUAGES</w:t>
      </w:r>
    </w:p>
    <w:p>
      <w:pPr>
        <w:pStyle w:val="Heading1"/>
        <w:spacing w:after="0"/>
        <w:sectPr>
          <w:headerReference w:type="default" r:id="rId11"/>
          <w:pgSz w:w="12240" w:h="15840"/>
          <w:pgMar w:header="383" w:footer="0" w:top="580" w:bottom="280" w:left="1440" w:right="1080"/>
        </w:sectPr>
      </w:pPr>
    </w:p>
    <w:p>
      <w:pPr>
        <w:pStyle w:val="BodyText"/>
        <w:spacing w:before="5"/>
      </w:pP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header="383" w:footer="0"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1063521</wp:posOffset>
              </wp:positionH>
              <wp:positionV relativeFrom="page">
                <wp:posOffset>433109</wp:posOffset>
              </wp:positionV>
              <wp:extent cx="20955" cy="20955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9"/>
                            </a:lnTo>
                            <a:lnTo>
                              <a:pt x="1009" y="15623"/>
                            </a:lnTo>
                            <a:lnTo>
                              <a:pt x="0" y="13187"/>
                            </a:lnTo>
                            <a:lnTo>
                              <a:pt x="0" y="7480"/>
                            </a:lnTo>
                            <a:lnTo>
                              <a:pt x="1009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7"/>
                            </a:lnTo>
                            <a:lnTo>
                              <a:pt x="19660" y="15623"/>
                            </a:lnTo>
                            <a:lnTo>
                              <a:pt x="15624" y="19659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103134pt;width:1.65pt;height:1.65pt;mso-position-horizontal-relative:page;mso-position-vertical-relative:page;z-index:-15799296" id="docshape16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gshelley@fennemorelaw.com" TargetMode="External"/><Relationship Id="rId11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2025-01-02T06:47:58Z</dcterms:created>
  <dcterms:modified xsi:type="dcterms:W3CDTF">2025-01-02T06:47:58Z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