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11943" y="1369338"/>
                            <a:ext cx="187578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320675">
                                <a:moveTo>
                                  <a:pt x="187573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75739" y="320382"/>
                                </a:lnTo>
                                <a:lnTo>
                                  <a:pt x="1875739" y="315214"/>
                                </a:lnTo>
                                <a:close/>
                              </a:path>
                              <a:path w="1875789" h="320675">
                                <a:moveTo>
                                  <a:pt x="1875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75739" y="5168"/>
                                </a:lnTo>
                                <a:lnTo>
                                  <a:pt x="1875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HOPE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LEIBSOHN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602.916.5328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hleibsohn@fennemorelaw.com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688;top:2156;width:2954;height:505" id="docshape5" coordorigin="5688,2156" coordsize="2954,505" path="m8642,2653l5688,2653,5688,2661,8642,2661,8642,2653xm8642,2156l5688,2156,5688,2165,8642,2165,8642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HOPE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LEIBSOHN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602.916.5328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hleibsohn@fennemorelaw.com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HOPE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LEIBSOHN</w:t>
      </w:r>
    </w:p>
    <w:p>
      <w:pPr>
        <w:pStyle w:val="BodyText"/>
        <w:spacing w:before="147"/>
      </w:pPr>
      <w:r>
        <w:rPr>
          <w:color w:val="6E6158"/>
        </w:rPr>
        <w:t>Hope</w:t>
      </w:r>
      <w:r>
        <w:rPr>
          <w:color w:val="6E6158"/>
          <w:spacing w:val="13"/>
        </w:rPr>
        <w:t> </w:t>
      </w:r>
      <w:r>
        <w:rPr>
          <w:color w:val="6E6158"/>
        </w:rPr>
        <w:t>Leibsohn</w:t>
      </w:r>
      <w:r>
        <w:rPr>
          <w:color w:val="6E6158"/>
          <w:spacing w:val="14"/>
        </w:rPr>
        <w:t> </w:t>
      </w:r>
      <w:r>
        <w:rPr>
          <w:color w:val="6E6158"/>
        </w:rPr>
        <w:t>brings</w:t>
      </w:r>
      <w:r>
        <w:rPr>
          <w:color w:val="6E6158"/>
          <w:spacing w:val="14"/>
        </w:rPr>
        <w:t> </w:t>
      </w:r>
      <w:r>
        <w:rPr>
          <w:color w:val="6E6158"/>
        </w:rPr>
        <w:t>extensive</w:t>
      </w:r>
      <w:r>
        <w:rPr>
          <w:color w:val="6E6158"/>
          <w:spacing w:val="14"/>
        </w:rPr>
        <w:t> </w:t>
      </w:r>
      <w:r>
        <w:rPr>
          <w:color w:val="6E6158"/>
        </w:rPr>
        <w:t>experience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estate</w:t>
      </w:r>
      <w:r>
        <w:rPr>
          <w:color w:val="6E6158"/>
          <w:spacing w:val="14"/>
        </w:rPr>
        <w:t> </w:t>
      </w:r>
      <w:r>
        <w:rPr>
          <w:color w:val="6E6158"/>
        </w:rPr>
        <w:t>planning,</w:t>
      </w:r>
      <w:r>
        <w:rPr>
          <w:color w:val="6E6158"/>
          <w:spacing w:val="13"/>
        </w:rPr>
        <w:t> </w:t>
      </w:r>
      <w:r>
        <w:rPr>
          <w:color w:val="6E6158"/>
        </w:rPr>
        <w:t>covering</w:t>
      </w:r>
      <w:r>
        <w:rPr>
          <w:color w:val="6E6158"/>
          <w:spacing w:val="14"/>
        </w:rPr>
        <w:t> </w:t>
      </w:r>
      <w:r>
        <w:rPr>
          <w:color w:val="6E6158"/>
        </w:rPr>
        <w:t>wills,</w:t>
      </w:r>
      <w:r>
        <w:rPr>
          <w:color w:val="6E6158"/>
          <w:spacing w:val="14"/>
        </w:rPr>
        <w:t> </w:t>
      </w:r>
      <w:r>
        <w:rPr>
          <w:color w:val="6E6158"/>
        </w:rPr>
        <w:t>trusts,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charitable</w:t>
      </w:r>
    </w:p>
    <w:p>
      <w:pPr>
        <w:pStyle w:val="BodyText"/>
        <w:spacing w:line="295" w:lineRule="auto" w:before="60"/>
        <w:ind w:right="400"/>
      </w:pPr>
      <w:r>
        <w:rPr>
          <w:color w:val="6E6158"/>
        </w:rPr>
        <w:t>techniques, estate freezes, and advanced wealth transfer strategies. She is a valued member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Fennemore’s</w:t>
      </w:r>
      <w:r>
        <w:rPr>
          <w:color w:val="6E6158"/>
          <w:spacing w:val="38"/>
        </w:rPr>
        <w:t> </w:t>
      </w:r>
      <w:r>
        <w:rPr>
          <w:color w:val="6E6158"/>
        </w:rPr>
        <w:t>Estate</w:t>
      </w:r>
      <w:r>
        <w:rPr>
          <w:color w:val="6E6158"/>
          <w:spacing w:val="38"/>
        </w:rPr>
        <w:t> </w:t>
      </w:r>
      <w:r>
        <w:rPr>
          <w:color w:val="6E6158"/>
        </w:rPr>
        <w:t>Planning</w:t>
      </w:r>
      <w:r>
        <w:rPr>
          <w:color w:val="6E6158"/>
          <w:spacing w:val="38"/>
        </w:rPr>
        <w:t> </w:t>
      </w:r>
      <w:r>
        <w:rPr>
          <w:color w:val="6E6158"/>
        </w:rPr>
        <w:t>Department,</w:t>
      </w:r>
      <w:r>
        <w:rPr>
          <w:color w:val="6E6158"/>
          <w:spacing w:val="38"/>
        </w:rPr>
        <w:t> </w:t>
      </w:r>
      <w:r>
        <w:rPr>
          <w:color w:val="6E6158"/>
        </w:rPr>
        <w:t>where</w:t>
      </w:r>
      <w:r>
        <w:rPr>
          <w:color w:val="6E6158"/>
          <w:spacing w:val="38"/>
        </w:rPr>
        <w:t> </w:t>
      </w:r>
      <w:r>
        <w:rPr>
          <w:color w:val="6E6158"/>
        </w:rPr>
        <w:t>she</w:t>
      </w:r>
      <w:r>
        <w:rPr>
          <w:color w:val="6E6158"/>
          <w:spacing w:val="38"/>
        </w:rPr>
        <w:t> </w:t>
      </w:r>
      <w:r>
        <w:rPr>
          <w:color w:val="6E6158"/>
        </w:rPr>
        <w:t>focuses</w:t>
      </w:r>
      <w:r>
        <w:rPr>
          <w:color w:val="6E6158"/>
          <w:spacing w:val="38"/>
        </w:rPr>
        <w:t> </w:t>
      </w:r>
      <w:r>
        <w:rPr>
          <w:color w:val="6E6158"/>
        </w:rPr>
        <w:t>on</w:t>
      </w:r>
      <w:r>
        <w:rPr>
          <w:color w:val="6E6158"/>
          <w:spacing w:val="38"/>
        </w:rPr>
        <w:t> </w:t>
      </w:r>
      <w:r>
        <w:rPr>
          <w:color w:val="6E6158"/>
        </w:rPr>
        <w:t>crafting</w:t>
      </w:r>
      <w:r>
        <w:rPr>
          <w:color w:val="6E6158"/>
          <w:spacing w:val="38"/>
        </w:rPr>
        <w:t> </w:t>
      </w:r>
      <w:r>
        <w:rPr>
          <w:color w:val="6E6158"/>
        </w:rPr>
        <w:t>customized</w:t>
      </w:r>
      <w:r>
        <w:rPr>
          <w:color w:val="6E6158"/>
          <w:spacing w:val="38"/>
        </w:rPr>
        <w:t> </w:t>
      </w:r>
      <w:r>
        <w:rPr>
          <w:color w:val="6E6158"/>
        </w:rPr>
        <w:t>legacy plans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go</w:t>
      </w:r>
      <w:r>
        <w:rPr>
          <w:color w:val="6E6158"/>
          <w:spacing w:val="29"/>
        </w:rPr>
        <w:t> </w:t>
      </w:r>
      <w:r>
        <w:rPr>
          <w:color w:val="6E6158"/>
        </w:rPr>
        <w:t>beyond</w:t>
      </w:r>
      <w:r>
        <w:rPr>
          <w:color w:val="6E6158"/>
          <w:spacing w:val="29"/>
        </w:rPr>
        <w:t> </w:t>
      </w:r>
      <w:r>
        <w:rPr>
          <w:color w:val="6E6158"/>
        </w:rPr>
        <w:t>tax</w:t>
      </w:r>
      <w:r>
        <w:rPr>
          <w:color w:val="6E6158"/>
          <w:spacing w:val="29"/>
        </w:rPr>
        <w:t> </w:t>
      </w:r>
      <w:r>
        <w:rPr>
          <w:color w:val="6E6158"/>
        </w:rPr>
        <w:t>planning</w:t>
      </w:r>
      <w:r>
        <w:rPr>
          <w:color w:val="6E6158"/>
          <w:spacing w:val="29"/>
        </w:rPr>
        <w:t> </w:t>
      </w:r>
      <w:r>
        <w:rPr>
          <w:color w:val="6E6158"/>
        </w:rPr>
        <w:t>strategies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reflect</w:t>
      </w:r>
      <w:r>
        <w:rPr>
          <w:color w:val="6E6158"/>
          <w:spacing w:val="29"/>
        </w:rPr>
        <w:t> </w:t>
      </w:r>
      <w:r>
        <w:rPr>
          <w:color w:val="6E6158"/>
        </w:rPr>
        <w:t>each</w:t>
      </w:r>
      <w:r>
        <w:rPr>
          <w:color w:val="6E6158"/>
          <w:spacing w:val="29"/>
        </w:rPr>
        <w:t> </w:t>
      </w:r>
      <w:r>
        <w:rPr>
          <w:color w:val="6E6158"/>
        </w:rPr>
        <w:t>client’s</w:t>
      </w:r>
      <w:r>
        <w:rPr>
          <w:color w:val="6E6158"/>
          <w:spacing w:val="29"/>
        </w:rPr>
        <w:t> </w:t>
      </w:r>
      <w:r>
        <w:rPr>
          <w:color w:val="6E6158"/>
        </w:rPr>
        <w:t>unique</w:t>
      </w:r>
      <w:r>
        <w:rPr>
          <w:color w:val="6E6158"/>
          <w:spacing w:val="29"/>
        </w:rPr>
        <w:t> </w:t>
      </w:r>
      <w:r>
        <w:rPr>
          <w:color w:val="6E6158"/>
        </w:rPr>
        <w:t>family</w:t>
      </w:r>
      <w:r>
        <w:rPr>
          <w:color w:val="6E6158"/>
          <w:spacing w:val="29"/>
        </w:rPr>
        <w:t> </w:t>
      </w:r>
      <w:r>
        <w:rPr>
          <w:color w:val="6E6158"/>
        </w:rPr>
        <w:t>dynamics and core life values.</w:t>
      </w:r>
    </w:p>
    <w:p>
      <w:pPr>
        <w:pStyle w:val="BodyText"/>
        <w:spacing w:line="295" w:lineRule="auto" w:before="196"/>
        <w:ind w:right="495"/>
      </w:pPr>
      <w:r>
        <w:rPr>
          <w:color w:val="6E6158"/>
        </w:rPr>
        <w:t>Hope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known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her</w:t>
      </w:r>
      <w:r>
        <w:rPr>
          <w:color w:val="6E6158"/>
          <w:spacing w:val="30"/>
        </w:rPr>
        <w:t> </w:t>
      </w:r>
      <w:r>
        <w:rPr>
          <w:color w:val="6E6158"/>
        </w:rPr>
        <w:t>creative</w:t>
      </w:r>
      <w:r>
        <w:rPr>
          <w:color w:val="6E6158"/>
          <w:spacing w:val="30"/>
        </w:rPr>
        <w:t> </w:t>
      </w:r>
      <w:r>
        <w:rPr>
          <w:color w:val="6E6158"/>
        </w:rPr>
        <w:t>solutions,</w:t>
      </w:r>
      <w:r>
        <w:rPr>
          <w:color w:val="6E6158"/>
          <w:spacing w:val="30"/>
        </w:rPr>
        <w:t> </w:t>
      </w:r>
      <w:r>
        <w:rPr>
          <w:color w:val="6E6158"/>
        </w:rPr>
        <w:t>particularly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designing</w:t>
      </w:r>
      <w:r>
        <w:rPr>
          <w:color w:val="6E6158"/>
          <w:spacing w:val="30"/>
        </w:rPr>
        <w:t> </w:t>
      </w:r>
      <w:r>
        <w:rPr>
          <w:color w:val="6E6158"/>
        </w:rPr>
        <w:t>trusts</w:t>
      </w:r>
      <w:r>
        <w:rPr>
          <w:color w:val="6E6158"/>
          <w:spacing w:val="30"/>
        </w:rPr>
        <w:t> </w:t>
      </w:r>
      <w:r>
        <w:rPr>
          <w:color w:val="6E6158"/>
        </w:rPr>
        <w:t>that</w:t>
      </w:r>
      <w:r>
        <w:rPr>
          <w:color w:val="6E6158"/>
          <w:spacing w:val="30"/>
        </w:rPr>
        <w:t> </w:t>
      </w:r>
      <w:r>
        <w:rPr>
          <w:color w:val="6E6158"/>
        </w:rPr>
        <w:t>incentivize beneficiaries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contribute</w:t>
      </w:r>
      <w:r>
        <w:rPr>
          <w:color w:val="6E6158"/>
          <w:spacing w:val="24"/>
        </w:rPr>
        <w:t> </w:t>
      </w:r>
      <w:r>
        <w:rPr>
          <w:color w:val="6E6158"/>
        </w:rPr>
        <w:t>positively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society.</w:t>
      </w:r>
      <w:r>
        <w:rPr>
          <w:color w:val="6E6158"/>
          <w:spacing w:val="24"/>
        </w:rPr>
        <w:t> </w:t>
      </w:r>
      <w:r>
        <w:rPr>
          <w:color w:val="6E6158"/>
        </w:rPr>
        <w:t>She</w:t>
      </w:r>
      <w:r>
        <w:rPr>
          <w:color w:val="6E6158"/>
          <w:spacing w:val="24"/>
        </w:rPr>
        <w:t> </w:t>
      </w:r>
      <w:r>
        <w:rPr>
          <w:color w:val="6E6158"/>
        </w:rPr>
        <w:t>lives</w:t>
      </w:r>
      <w:r>
        <w:rPr>
          <w:color w:val="6E6158"/>
          <w:spacing w:val="24"/>
        </w:rPr>
        <w:t> </w:t>
      </w:r>
      <w:r>
        <w:rPr>
          <w:color w:val="6E6158"/>
        </w:rPr>
        <w:t>by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personal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professional</w:t>
      </w:r>
      <w:r>
        <w:rPr>
          <w:color w:val="6E6158"/>
          <w:spacing w:val="24"/>
        </w:rPr>
        <w:t> </w:t>
      </w:r>
      <w:r>
        <w:rPr>
          <w:color w:val="6E6158"/>
        </w:rPr>
        <w:t>motto of “how best may I serve,” which underscores her commitment to addressing her clients’ needs</w:t>
      </w:r>
      <w:r>
        <w:rPr>
          <w:color w:val="6E6158"/>
          <w:spacing w:val="40"/>
        </w:rPr>
        <w:t> </w:t>
      </w:r>
      <w:r>
        <w:rPr>
          <w:color w:val="6E6158"/>
        </w:rPr>
        <w:t>with dedication and empathy. In her practice, Hope provides comprehensive counsel on </w:t>
      </w:r>
      <w:r>
        <w:rPr>
          <w:color w:val="6E6158"/>
        </w:rPr>
        <w:t>estate,</w:t>
      </w:r>
      <w:r>
        <w:rPr>
          <w:color w:val="6E6158"/>
          <w:spacing w:val="40"/>
        </w:rPr>
        <w:t> </w:t>
      </w:r>
      <w:r>
        <w:rPr>
          <w:color w:val="6E6158"/>
        </w:rPr>
        <w:t>gift,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multi-generational</w:t>
      </w:r>
      <w:r>
        <w:rPr>
          <w:color w:val="6E6158"/>
          <w:spacing w:val="29"/>
        </w:rPr>
        <w:t> </w:t>
      </w:r>
      <w:r>
        <w:rPr>
          <w:color w:val="6E6158"/>
        </w:rPr>
        <w:t>tax</w:t>
      </w:r>
      <w:r>
        <w:rPr>
          <w:color w:val="6E6158"/>
          <w:spacing w:val="29"/>
        </w:rPr>
        <w:t> </w:t>
      </w:r>
      <w:r>
        <w:rPr>
          <w:color w:val="6E6158"/>
        </w:rPr>
        <w:t>planning.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offers</w:t>
      </w:r>
      <w:r>
        <w:rPr>
          <w:color w:val="6E6158"/>
          <w:spacing w:val="29"/>
        </w:rPr>
        <w:t> </w:t>
      </w:r>
      <w:r>
        <w:rPr>
          <w:color w:val="6E6158"/>
        </w:rPr>
        <w:t>guidance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creation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wills,</w:t>
      </w:r>
      <w:r>
        <w:rPr>
          <w:color w:val="6E6158"/>
          <w:spacing w:val="29"/>
        </w:rPr>
        <w:t> </w:t>
      </w:r>
      <w:r>
        <w:rPr>
          <w:color w:val="6E6158"/>
        </w:rPr>
        <w:t>trusts, powers of attorney, and on navigating gift and generation-skipping transfer taxes. Her approach</w:t>
      </w:r>
      <w:r>
        <w:rPr>
          <w:color w:val="6E6158"/>
          <w:spacing w:val="80"/>
        </w:rPr>
        <w:t> </w:t>
      </w:r>
      <w:r>
        <w:rPr>
          <w:color w:val="6E6158"/>
        </w:rPr>
        <w:t>to lifetime wealth transfer includes the use of qualified personal residence trusts, grantor retained</w:t>
      </w:r>
      <w:r>
        <w:rPr>
          <w:color w:val="6E6158"/>
          <w:spacing w:val="40"/>
        </w:rPr>
        <w:t> </w:t>
      </w:r>
      <w:r>
        <w:rPr>
          <w:color w:val="6E6158"/>
        </w:rPr>
        <w:t>annuity trusts, family limited partnerships, and various planned giving strategies.</w:t>
      </w:r>
    </w:p>
    <w:p>
      <w:pPr>
        <w:pStyle w:val="BodyText"/>
        <w:spacing w:before="198"/>
      </w:pPr>
      <w:r>
        <w:rPr>
          <w:color w:val="6E6158"/>
        </w:rPr>
        <w:t>Hope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adept</w:t>
      </w:r>
      <w:r>
        <w:rPr>
          <w:color w:val="6E6158"/>
          <w:spacing w:val="13"/>
        </w:rPr>
        <w:t> </w:t>
      </w:r>
      <w:r>
        <w:rPr>
          <w:color w:val="6E6158"/>
        </w:rPr>
        <w:t>at</w:t>
      </w:r>
      <w:r>
        <w:rPr>
          <w:color w:val="6E6158"/>
          <w:spacing w:val="13"/>
        </w:rPr>
        <w:t> </w:t>
      </w:r>
      <w:r>
        <w:rPr>
          <w:color w:val="6E6158"/>
        </w:rPr>
        <w:t>establishing</w:t>
      </w:r>
      <w:r>
        <w:rPr>
          <w:color w:val="6E6158"/>
          <w:spacing w:val="13"/>
        </w:rPr>
        <w:t> </w:t>
      </w:r>
      <w:r>
        <w:rPr>
          <w:color w:val="6E6158"/>
        </w:rPr>
        <w:t>charitable</w:t>
      </w:r>
      <w:r>
        <w:rPr>
          <w:color w:val="6E6158"/>
          <w:spacing w:val="13"/>
        </w:rPr>
        <w:t> </w:t>
      </w:r>
      <w:r>
        <w:rPr>
          <w:color w:val="6E6158"/>
        </w:rPr>
        <w:t>remainder</w:t>
      </w:r>
      <w:r>
        <w:rPr>
          <w:color w:val="6E6158"/>
          <w:spacing w:val="14"/>
        </w:rPr>
        <w:t> </w:t>
      </w:r>
      <w:r>
        <w:rPr>
          <w:color w:val="6E6158"/>
        </w:rPr>
        <w:t>trusts,</w:t>
      </w:r>
      <w:r>
        <w:rPr>
          <w:color w:val="6E6158"/>
          <w:spacing w:val="13"/>
        </w:rPr>
        <w:t> </w:t>
      </w:r>
      <w:r>
        <w:rPr>
          <w:color w:val="6E6158"/>
        </w:rPr>
        <w:t>charitable</w:t>
      </w:r>
      <w:r>
        <w:rPr>
          <w:color w:val="6E6158"/>
          <w:spacing w:val="13"/>
        </w:rPr>
        <w:t> </w:t>
      </w:r>
      <w:r>
        <w:rPr>
          <w:color w:val="6E6158"/>
        </w:rPr>
        <w:t>lead</w:t>
      </w:r>
      <w:r>
        <w:rPr>
          <w:color w:val="6E6158"/>
          <w:spacing w:val="13"/>
        </w:rPr>
        <w:t> </w:t>
      </w:r>
      <w:r>
        <w:rPr>
          <w:color w:val="6E6158"/>
        </w:rPr>
        <w:t>trusts,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private</w:t>
      </w:r>
    </w:p>
    <w:p>
      <w:pPr>
        <w:pStyle w:val="BodyText"/>
        <w:spacing w:line="295" w:lineRule="auto" w:before="52"/>
        <w:ind w:right="400"/>
      </w:pPr>
      <w:r>
        <w:rPr>
          <w:color w:val="6E6158"/>
        </w:rPr>
        <w:t>foundations, spousal lifetime access trusts, and other sophisticated estate and gift tax planning</w:t>
      </w:r>
      <w:r>
        <w:rPr>
          <w:color w:val="6E6158"/>
          <w:spacing w:val="40"/>
        </w:rPr>
        <w:t> </w:t>
      </w:r>
      <w:r>
        <w:rPr>
          <w:color w:val="6E6158"/>
        </w:rPr>
        <w:t>methods.</w:t>
      </w:r>
      <w:r>
        <w:rPr>
          <w:color w:val="6E6158"/>
          <w:spacing w:val="34"/>
        </w:rPr>
        <w:t> </w:t>
      </w:r>
      <w:r>
        <w:rPr>
          <w:color w:val="6E6158"/>
        </w:rPr>
        <w:t>Her</w:t>
      </w:r>
      <w:r>
        <w:rPr>
          <w:color w:val="6E6158"/>
          <w:spacing w:val="34"/>
        </w:rPr>
        <w:t> </w:t>
      </w:r>
      <w:r>
        <w:rPr>
          <w:color w:val="6E6158"/>
        </w:rPr>
        <w:t>unique</w:t>
      </w:r>
      <w:r>
        <w:rPr>
          <w:color w:val="6E6158"/>
          <w:spacing w:val="34"/>
        </w:rPr>
        <w:t> </w:t>
      </w:r>
      <w:r>
        <w:rPr>
          <w:color w:val="6E6158"/>
        </w:rPr>
        <w:t>approach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legacy</w:t>
      </w:r>
      <w:r>
        <w:rPr>
          <w:color w:val="6E6158"/>
          <w:spacing w:val="34"/>
        </w:rPr>
        <w:t> </w:t>
      </w:r>
      <w:r>
        <w:rPr>
          <w:color w:val="6E6158"/>
        </w:rPr>
        <w:t>planning</w:t>
      </w:r>
      <w:r>
        <w:rPr>
          <w:color w:val="6E6158"/>
          <w:spacing w:val="34"/>
        </w:rPr>
        <w:t> </w:t>
      </w:r>
      <w:r>
        <w:rPr>
          <w:color w:val="6E6158"/>
        </w:rPr>
        <w:t>is</w:t>
      </w:r>
      <w:r>
        <w:rPr>
          <w:color w:val="6E6158"/>
          <w:spacing w:val="34"/>
        </w:rPr>
        <w:t> </w:t>
      </w:r>
      <w:r>
        <w:rPr>
          <w:color w:val="6E6158"/>
        </w:rPr>
        <w:t>distinguished</w:t>
      </w:r>
      <w:r>
        <w:rPr>
          <w:color w:val="6E6158"/>
          <w:spacing w:val="34"/>
        </w:rPr>
        <w:t> </w:t>
      </w:r>
      <w:r>
        <w:rPr>
          <w:color w:val="6E6158"/>
        </w:rPr>
        <w:t>by</w:t>
      </w:r>
      <w:r>
        <w:rPr>
          <w:color w:val="6E6158"/>
          <w:spacing w:val="34"/>
        </w:rPr>
        <w:t> </w:t>
      </w:r>
      <w:r>
        <w:rPr>
          <w:color w:val="6E6158"/>
        </w:rPr>
        <w:t>customizing</w:t>
      </w:r>
      <w:r>
        <w:rPr>
          <w:color w:val="6E6158"/>
          <w:spacing w:val="34"/>
        </w:rPr>
        <w:t> </w:t>
      </w:r>
      <w:r>
        <w:rPr>
          <w:color w:val="6E6158"/>
        </w:rPr>
        <w:t>trust language to encourage younger generations to become productive, contributing members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society, reflecting her innovative and thoughtful approach to estate planning.</w:t>
      </w:r>
    </w:p>
    <w:p>
      <w:pPr>
        <w:pStyle w:val="BodyText"/>
        <w:spacing w:before="0"/>
        <w:ind w:left="0"/>
      </w:pPr>
    </w:p>
    <w:p>
      <w:pPr>
        <w:pStyle w:val="BodyText"/>
        <w:spacing w:before="185"/>
        <w:ind w:left="0"/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/>
        <w:ind w:left="356" w:right="3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152530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287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410896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4038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Los Angeles School of </w:t>
      </w:r>
      <w:r>
        <w:rPr>
          <w:color w:val="6E6158"/>
        </w:rPr>
        <w:t>Law</w:t>
      </w:r>
      <w:r>
        <w:rPr>
          <w:color w:val="6E6158"/>
        </w:rPr>
        <w:t> B.A., </w:t>
      </w:r>
      <w:r>
        <w:rPr>
          <w:i/>
          <w:color w:val="6E6158"/>
          <w:sz w:val="20"/>
        </w:rPr>
        <w:t>summa cum laude</w:t>
      </w:r>
      <w:r>
        <w:rPr>
          <w:color w:val="6E6158"/>
        </w:rPr>
        <w:t>, University of Arizona</w:t>
      </w:r>
    </w:p>
    <w:p>
      <w:pPr>
        <w:pStyle w:val="Heading1"/>
        <w:spacing w:before="16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/>
        <w:ind w:left="356"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152390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284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415923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9908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1200" id="docshape1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2"/>
        </w:rPr>
        <w:t> </w: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Directors,</w:t>
      </w:r>
      <w:r>
        <w:rPr>
          <w:color w:val="6E6158"/>
          <w:spacing w:val="13"/>
        </w:rPr>
        <w:t> </w:t>
      </w:r>
      <w:r>
        <w:rPr>
          <w:color w:val="6E6158"/>
        </w:rPr>
        <w:t>Celebrity</w:t>
      </w:r>
      <w:r>
        <w:rPr>
          <w:color w:val="6E6158"/>
          <w:spacing w:val="13"/>
        </w:rPr>
        <w:t> </w:t>
      </w:r>
      <w:r>
        <w:rPr>
          <w:color w:val="6E6158"/>
        </w:rPr>
        <w:t>Fight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Night</w:t>
      </w:r>
    </w:p>
    <w:p>
      <w:pPr>
        <w:pStyle w:val="BodyText"/>
        <w:spacing w:line="427" w:lineRule="auto" w:before="174"/>
        <w:ind w:left="356" w:right="30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169878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287pt;width:1.65pt;height:1.65pt;mso-position-horizontal-relative:page;mso-position-vertical-relative:paragraph;z-index:15731712" id="docshape12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433411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6911pt;width:1.65pt;height:1.65pt;mso-position-horizontal-relative:page;mso-position-vertical-relative:paragraph;z-index:15732224" id="docshape13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Board of Directors, Boys &amp; Girls Clubs of the East Valley Former Board of Directors, Social Venture Partners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152408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689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Estates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152474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881pt;width:1.65pt;height:1.65pt;mso-position-horizontal-relative:page;mso-position-vertical-relative:paragraph;z-index:15733248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6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hleibsoh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2025-01-02T06:19:37Z</dcterms:created>
  <dcterms:modified xsi:type="dcterms:W3CDTF">2025-01-02T06:19:37Z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