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43717" y="763308"/>
                            <a:ext cx="162496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JANET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DAILEY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Estate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Planning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916.273.1847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5530" y="2490038"/>
                            <a:ext cx="1421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jdailey@fennemorelaw.com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017269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JANET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002E6B"/>
                                  <w:spacing w:val="-12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11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ILEY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4053" y="3745695"/>
                            <a:ext cx="355472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regret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regret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didn't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36;top:1762;width:255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JANET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DAILEY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Estate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Planning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916.273.1847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916.273.1847</w:t>
                        </w:r>
                      </w:p>
                    </w:txbxContent>
                  </v:textbox>
                  <w10:wrap type="none"/>
                </v:shape>
                <v:shape style="position:absolute;left:7397;top:4481;width:223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jdailey@fennemorelaw.com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602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JANET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002E6B"/>
                            <w:spacing w:val="-12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611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ILEY</w:t>
                        </w:r>
                      </w:p>
                    </w:txbxContent>
                  </v:textbox>
                  <w10:wrap type="none"/>
                </v:shape>
                <v:shape style="position:absolute;left:3331;top:6458;width:559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regret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regret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didn't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do.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297" w:lineRule="auto"/>
        <w:ind w:left="104" w:right="384"/>
      </w:pPr>
      <w:r>
        <w:rPr>
          <w:color w:val="6E6158"/>
        </w:rPr>
        <w:t>Janet Dailey is an experienced estate planning and trust and estates paralegal. Her career</w:t>
      </w:r>
      <w:r>
        <w:rPr>
          <w:color w:val="6E6158"/>
          <w:spacing w:val="40"/>
        </w:rPr>
        <w:t> </w:t>
      </w:r>
      <w:r>
        <w:rPr>
          <w:color w:val="6E6158"/>
        </w:rPr>
        <w:t>began shortly after college in Santa Barbara, where she worked as a legal secretary at a</w:t>
      </w:r>
      <w:r>
        <w:rPr>
          <w:color w:val="6E6158"/>
          <w:spacing w:val="40"/>
        </w:rPr>
        <w:t> </w:t>
      </w:r>
      <w:r>
        <w:rPr>
          <w:color w:val="6E6158"/>
        </w:rPr>
        <w:t>litigation law firm. Within a few years, Janet transitioned to a paralegal role, focused on</w:t>
      </w:r>
      <w:r>
        <w:rPr>
          <w:color w:val="6E6158"/>
          <w:spacing w:val="40"/>
        </w:rPr>
        <w:t> </w:t>
      </w:r>
      <w:r>
        <w:rPr>
          <w:color w:val="6E6158"/>
        </w:rPr>
        <w:t>insurance defense litigation, real estate, and defending malpractice matters. Eventually, she</w:t>
      </w:r>
      <w:r>
        <w:rPr>
          <w:color w:val="6E6158"/>
          <w:spacing w:val="40"/>
        </w:rPr>
        <w:t> </w:t>
      </w:r>
      <w:r>
        <w:rPr>
          <w:color w:val="6E6158"/>
        </w:rPr>
        <w:t>shifted her focus to a real estate and estate planning. She has since discovered a passion for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22"/>
        </w:rPr>
        <w:t> </w:t>
      </w:r>
      <w:r>
        <w:rPr>
          <w:color w:val="6E6158"/>
        </w:rPr>
        <w:t>planning,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this</w:t>
      </w:r>
      <w:r>
        <w:rPr>
          <w:color w:val="6E6158"/>
          <w:spacing w:val="22"/>
        </w:rPr>
        <w:t> </w:t>
      </w:r>
      <w:r>
        <w:rPr>
          <w:color w:val="6E6158"/>
        </w:rPr>
        <w:t>area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law</w:t>
      </w:r>
      <w:r>
        <w:rPr>
          <w:color w:val="6E6158"/>
          <w:spacing w:val="22"/>
        </w:rPr>
        <w:t> </w:t>
      </w:r>
      <w:r>
        <w:rPr>
          <w:color w:val="6E6158"/>
        </w:rPr>
        <w:t>has</w:t>
      </w:r>
      <w:r>
        <w:rPr>
          <w:color w:val="6E6158"/>
          <w:spacing w:val="22"/>
        </w:rPr>
        <w:t> </w:t>
      </w:r>
      <w:r>
        <w:rPr>
          <w:color w:val="6E6158"/>
        </w:rPr>
        <w:t>been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primary</w:t>
      </w:r>
      <w:r>
        <w:rPr>
          <w:color w:val="6E6158"/>
          <w:spacing w:val="22"/>
        </w:rPr>
        <w:t> </w:t>
      </w:r>
      <w:r>
        <w:rPr>
          <w:color w:val="6E6158"/>
        </w:rPr>
        <w:t>focus</w:t>
      </w:r>
      <w:r>
        <w:rPr>
          <w:color w:val="6E6158"/>
          <w:spacing w:val="22"/>
        </w:rPr>
        <w:t> </w:t>
      </w:r>
      <w:r>
        <w:rPr>
          <w:color w:val="6E6158"/>
        </w:rPr>
        <w:t>for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past</w:t>
      </w:r>
      <w:r>
        <w:rPr>
          <w:color w:val="6E6158"/>
          <w:spacing w:val="22"/>
        </w:rPr>
        <w:t> </w:t>
      </w:r>
      <w:r>
        <w:rPr>
          <w:color w:val="6E6158"/>
        </w:rPr>
        <w:t>30</w:t>
      </w:r>
      <w:r>
        <w:rPr>
          <w:color w:val="6E6158"/>
          <w:spacing w:val="22"/>
        </w:rPr>
        <w:t> </w:t>
      </w:r>
      <w:r>
        <w:rPr>
          <w:color w:val="6E6158"/>
        </w:rPr>
        <w:t>years.</w:t>
      </w:r>
    </w:p>
    <w:p>
      <w:pPr>
        <w:pStyle w:val="BodyText"/>
        <w:spacing w:line="297" w:lineRule="auto" w:before="188"/>
        <w:ind w:left="104" w:right="384"/>
      </w:pPr>
      <w:r>
        <w:rPr>
          <w:color w:val="6E6158"/>
        </w:rPr>
        <w:t>Outside of her professional life, Janet loves cooking and finds great joy in planning and</w:t>
      </w:r>
      <w:r>
        <w:rPr>
          <w:color w:val="6E6158"/>
          <w:spacing w:val="80"/>
        </w:rPr>
        <w:t> </w:t>
      </w:r>
      <w:r>
        <w:rPr>
          <w:color w:val="6E6158"/>
        </w:rPr>
        <w:t>preparing gourmet meals on the weekends. She is an active volunteer for the various outreach</w:t>
      </w:r>
      <w:r>
        <w:rPr>
          <w:color w:val="6E6158"/>
          <w:spacing w:val="40"/>
        </w:rPr>
        <w:t> </w:t>
      </w:r>
      <w:r>
        <w:rPr>
          <w:color w:val="6E6158"/>
        </w:rPr>
        <w:t>programs</w:t>
      </w:r>
      <w:r>
        <w:rPr>
          <w:color w:val="6E6158"/>
          <w:spacing w:val="29"/>
        </w:rPr>
        <w:t> </w:t>
      </w:r>
      <w:r>
        <w:rPr>
          <w:color w:val="6E6158"/>
        </w:rPr>
        <w:t>supported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Bayside</w:t>
      </w:r>
      <w:r>
        <w:rPr>
          <w:color w:val="6E6158"/>
          <w:spacing w:val="29"/>
        </w:rPr>
        <w:t> </w:t>
      </w:r>
      <w:r>
        <w:rPr>
          <w:color w:val="6E6158"/>
        </w:rPr>
        <w:t>Church.</w:t>
      </w:r>
      <w:r>
        <w:rPr>
          <w:color w:val="6E6158"/>
          <w:spacing w:val="80"/>
        </w:rPr>
        <w:t> </w:t>
      </w:r>
      <w:r>
        <w:rPr>
          <w:color w:val="6E6158"/>
        </w:rPr>
        <w:t>Janet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enjoys</w:t>
      </w:r>
      <w:r>
        <w:rPr>
          <w:color w:val="6E6158"/>
          <w:spacing w:val="29"/>
        </w:rPr>
        <w:t> </w:t>
      </w:r>
      <w:r>
        <w:rPr>
          <w:color w:val="6E6158"/>
        </w:rPr>
        <w:t>reading,</w:t>
      </w:r>
      <w:r>
        <w:rPr>
          <w:color w:val="6E6158"/>
          <w:spacing w:val="29"/>
        </w:rPr>
        <w:t> </w:t>
      </w:r>
      <w:r>
        <w:rPr>
          <w:color w:val="6E6158"/>
        </w:rPr>
        <w:t>walking,</w:t>
      </w:r>
      <w:r>
        <w:rPr>
          <w:color w:val="6E6158"/>
          <w:spacing w:val="29"/>
        </w:rPr>
        <w:t> </w:t>
      </w:r>
      <w:r>
        <w:rPr>
          <w:color w:val="6E6158"/>
        </w:rPr>
        <w:t>hiking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Lake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Tahoe,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taking</w:t>
      </w:r>
      <w:r>
        <w:rPr>
          <w:color w:val="6E6158"/>
          <w:spacing w:val="9"/>
        </w:rPr>
        <w:t> </w:t>
      </w:r>
      <w:r>
        <w:rPr>
          <w:color w:val="6E6158"/>
        </w:rPr>
        <w:t>sunset</w:t>
      </w:r>
      <w:r>
        <w:rPr>
          <w:color w:val="6E6158"/>
          <w:spacing w:val="9"/>
        </w:rPr>
        <w:t> </w:t>
      </w:r>
      <w:r>
        <w:rPr>
          <w:color w:val="6E6158"/>
        </w:rPr>
        <w:t>cruises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Lake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Folsom.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7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33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416026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957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152803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734pt;width:1.65pt;height:1.65pt;mso-position-horizontal-relative:page;mso-position-vertical-relative:paragraph;z-index:15730176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484pt;width:1.65pt;height:1.65pt;mso-position-horizontal-relative:page;mso-position-vertical-relative:paragraph;z-index:15730688" id="docshape16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University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Flagstaff University of California at Santa Barbara </w:t>
      </w:r>
      <w:r>
        <w:rPr>
          <w:color w:val="6E6158"/>
        </w:rPr>
        <w:t>(UCSB)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123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state-planning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dai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2025-01-02T06:11:24Z</dcterms:created>
  <dcterms:modified xsi:type="dcterms:W3CDTF">2025-01-02T06:11:24Z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