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JENNY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ZHANG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ERISA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303.764.3711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jzhang@fennemorelaw.com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JENNY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ZHANG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ERISA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303.764.3711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jzhang@fennemorelaw.com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  <w:jc w:val="both"/>
      </w:pPr>
      <w:r>
        <w:rPr>
          <w:color w:val="FF8100"/>
        </w:rPr>
        <w:t>JENNY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ZHANG</w:t>
      </w:r>
    </w:p>
    <w:p>
      <w:pPr>
        <w:pStyle w:val="BodyText"/>
        <w:spacing w:line="297" w:lineRule="auto"/>
        <w:ind w:left="104" w:right="873"/>
        <w:jc w:val="both"/>
      </w:pPr>
      <w:r>
        <w:rPr>
          <w:color w:val="6E6158"/>
        </w:rPr>
        <w:t>Jenny Zhang is an employee benefits/ERISA attorney. She focuses her practice on employee benefits and executive compensation, and the overlap between those areas and tax, </w:t>
      </w:r>
      <w:r>
        <w:rPr>
          <w:color w:val="6E6158"/>
        </w:rPr>
        <w:t>labor, employment and corporate law.</w:t>
      </w:r>
    </w:p>
    <w:p>
      <w:pPr>
        <w:pStyle w:val="BodyText"/>
        <w:spacing w:before="191"/>
        <w:ind w:left="104"/>
        <w:jc w:val="both"/>
      </w:pPr>
      <w:r>
        <w:rPr>
          <w:color w:val="6E6158"/>
        </w:rPr>
        <w:t>Jenny</w:t>
      </w:r>
      <w:r>
        <w:rPr>
          <w:color w:val="6E6158"/>
          <w:spacing w:val="13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extensive</w:t>
      </w:r>
      <w:r>
        <w:rPr>
          <w:color w:val="6E6158"/>
          <w:spacing w:val="13"/>
        </w:rPr>
        <w:t> </w:t>
      </w:r>
      <w:r>
        <w:rPr>
          <w:color w:val="6E6158"/>
        </w:rPr>
        <w:t>experience</w:t>
      </w:r>
      <w:r>
        <w:rPr>
          <w:color w:val="6E6158"/>
          <w:spacing w:val="13"/>
        </w:rPr>
        <w:t> </w:t>
      </w:r>
      <w:r>
        <w:rPr>
          <w:color w:val="6E6158"/>
        </w:rPr>
        <w:t>advising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following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areas: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 w:before="0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59757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5346pt;width:1.65pt;height:1.65pt;mso-position-horizontal-relative:page;mso-position-vertical-relative:paragraph;z-index:15729152" id="docshape7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design and implementation for retirement plans, welfare plans, cafeteria plans and self-</w:t>
      </w:r>
      <w:r>
        <w:rPr>
          <w:color w:val="6E6158"/>
          <w:spacing w:val="40"/>
        </w:rPr>
        <w:t> </w:t>
      </w:r>
      <w:r>
        <w:rPr>
          <w:color w:val="6E6158"/>
        </w:rPr>
        <w:t>funded health plans (benefit options, controlled group issues, preparing plan documents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 provider contracts)</w:t>
      </w:r>
    </w:p>
    <w:p>
      <w:pPr>
        <w:pStyle w:val="BodyText"/>
        <w:spacing w:line="297" w:lineRule="auto" w:before="124"/>
        <w:ind w:right="6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138426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9743pt;width:1.65pt;height:1.65pt;mso-position-horizontal-relative:page;mso-position-vertical-relative:paragraph;z-index:15729664" id="docshape8" coordorigin="1675,218" coordsize="33,33" path="m1696,251l1687,251,1683,249,1676,243,1675,239,1675,230,1676,226,1683,220,1687,218,1696,218,1699,220,1706,226,1707,230,1707,234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administration and benefits-related payroll issues (participant eligibility and </w:t>
      </w:r>
      <w:r>
        <w:rPr>
          <w:color w:val="6E6158"/>
        </w:rPr>
        <w:t>termination,</w:t>
      </w:r>
      <w:r>
        <w:rPr>
          <w:color w:val="6E6158"/>
          <w:spacing w:val="40"/>
        </w:rPr>
        <w:t> </w:t>
      </w:r>
      <w:r>
        <w:rPr>
          <w:color w:val="6E6158"/>
        </w:rPr>
        <w:t>benefit claims and appeals, COBRA, Qualified Domestic Relations Orders, plan distributions</w:t>
      </w:r>
      <w:r>
        <w:rPr>
          <w:color w:val="6E6158"/>
          <w:spacing w:val="40"/>
        </w:rPr>
        <w:t> </w:t>
      </w:r>
      <w:r>
        <w:rPr>
          <w:color w:val="6E6158"/>
        </w:rPr>
        <w:t>and rollovers, cafeteria plan administration, subrogation)</w:t>
      </w:r>
    </w:p>
    <w:p>
      <w:pPr>
        <w:pStyle w:val="BodyText"/>
        <w:spacing w:line="297" w:lineRule="auto" w:before="118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134647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2154pt;width:1.65pt;height:1.65pt;mso-position-horizontal-relative:page;mso-position-vertical-relative:paragraph;z-index:15730176" id="docshape9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Negotiating provider agreements (network provider agreements, administrative services</w:t>
      </w:r>
      <w:r>
        <w:rPr>
          <w:color w:val="6E6158"/>
          <w:spacing w:val="40"/>
        </w:rPr>
        <w:t> </w:t>
      </w:r>
      <w:r>
        <w:rPr>
          <w:color w:val="6E6158"/>
        </w:rPr>
        <w:t>agreements, business associate and cybersecurity agreements) with PPOs, HMOs, PBMs, </w:t>
      </w:r>
      <w:r>
        <w:rPr>
          <w:color w:val="6E6158"/>
        </w:rPr>
        <w:t>third</w:t>
      </w:r>
      <w:r>
        <w:rPr>
          <w:color w:val="6E6158"/>
          <w:spacing w:val="40"/>
        </w:rPr>
        <w:t> </w:t>
      </w:r>
      <w:r>
        <w:rPr>
          <w:color w:val="6E6158"/>
        </w:rPr>
        <w:t>party administrators, consultants and other plan professionals</w:t>
      </w:r>
    </w:p>
    <w:p>
      <w:pPr>
        <w:pStyle w:val="BodyText"/>
        <w:spacing w:line="292" w:lineRule="auto" w:before="118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134677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4564pt;width:1.65pt;height:1.65pt;mso-position-horizontal-relative:page;mso-position-vertical-relative:paragraph;z-index:15730688" id="docshape10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Compliance with ERISA, ACA, Internal Revenue Code, HIPAA, MHPAEA, SECURE Act, </w:t>
      </w:r>
      <w:r>
        <w:rPr>
          <w:color w:val="6E6158"/>
        </w:rPr>
        <w:t>No Surprises Act and other federal and state tax laws and regulations</w:t>
      </w:r>
    </w:p>
    <w:p>
      <w:pPr>
        <w:pStyle w:val="BodyText"/>
        <w:spacing w:line="302" w:lineRule="auto" w:before="124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138030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537pt;width:1.65pt;height:1.65pt;mso-position-horizontal-relative:page;mso-position-vertical-relative:paragraph;z-index:15731200" id="docshape1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audits and corrections with the IRS and DOL (VCP, VFCP and DFVCP filings, and audit </w:t>
      </w:r>
      <w:r>
        <w:rPr>
          <w:color w:val="6E6158"/>
          <w:spacing w:val="-2"/>
        </w:rPr>
        <w:t>responses)</w:t>
      </w:r>
    </w:p>
    <w:p>
      <w:pPr>
        <w:pStyle w:val="BodyText"/>
        <w:spacing w:line="420" w:lineRule="auto" w:before="112"/>
        <w:ind w:right="36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130906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57pt;width:1.65pt;height:1.65pt;mso-position-horizontal-relative:page;mso-position-vertical-relative:paragraph;z-index:15731712" id="docshape12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389271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51318pt;width:1.65pt;height:1.65pt;mso-position-horizontal-relative:page;mso-position-vertical-relative:paragraph;z-index:15732224" id="docshape13" coordorigin="1675,613" coordsize="33,33" path="m1696,646l1687,646,1683,644,1676,638,1675,634,1675,625,1676,621,1683,615,1687,613,1696,613,1699,615,1706,621,1707,625,1707,629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Benefits-related due diligence in mergers and </w:t>
      </w:r>
      <w:r>
        <w:rPr>
          <w:color w:val="6E6158"/>
        </w:rPr>
        <w:t>acquisitions Plan mergers and terminations</w:t>
      </w:r>
    </w:p>
    <w:p>
      <w:pPr>
        <w:pStyle w:val="BodyText"/>
        <w:spacing w:line="292" w:lineRule="auto" w:before="7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63944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975pt;width:1.65pt;height:1.65pt;mso-position-horizontal-relative:page;mso-position-vertical-relative:paragraph;z-index:15732736" id="docshape1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investment review (negotiating subscription documents, side letters, advising on </w:t>
      </w:r>
      <w:r>
        <w:rPr>
          <w:color w:val="6E6158"/>
        </w:rPr>
        <w:t>ERISA</w:t>
      </w:r>
      <w:r>
        <w:rPr>
          <w:color w:val="6E6158"/>
          <w:spacing w:val="40"/>
        </w:rPr>
        <w:t> </w:t>
      </w:r>
      <w:r>
        <w:rPr>
          <w:color w:val="6E6158"/>
        </w:rPr>
        <w:t>plan assets)</w:t>
      </w:r>
    </w:p>
    <w:p>
      <w:pPr>
        <w:pStyle w:val="BodyText"/>
        <w:spacing w:line="292" w:lineRule="auto" w:before="123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137781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948pt;width:1.65pt;height:1.65pt;mso-position-horizontal-relative:page;mso-position-vertical-relative:paragraph;z-index:15733248" id="docshape15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Preparing and advising on equity compensation, non-qualified deferred </w:t>
      </w:r>
      <w:r>
        <w:rPr>
          <w:color w:val="6E6158"/>
        </w:rPr>
        <w:t>compensation, employment, severance and retention agreements, 280G and 409A issues</w:t>
      </w:r>
    </w:p>
    <w:p>
      <w:pPr>
        <w:pStyle w:val="BodyText"/>
        <w:spacing w:line="292" w:lineRule="auto" w:before="132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143126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796pt;width:1.65pt;height:1.65pt;mso-position-horizontal-relative:page;mso-position-vertical-relative:paragraph;z-index:15733760" id="docshape1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Advising plan fiduciaries on fiduciary duties and prohibited transactions with respect to </w:t>
      </w:r>
      <w:r>
        <w:rPr>
          <w:color w:val="6E6158"/>
        </w:rPr>
        <w:t>plan</w:t>
      </w:r>
      <w:r>
        <w:rPr>
          <w:color w:val="6E6158"/>
          <w:spacing w:val="40"/>
        </w:rPr>
        <w:t> </w:t>
      </w:r>
      <w:r>
        <w:rPr>
          <w:color w:val="6E6158"/>
        </w:rPr>
        <w:t>investments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expenses,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acquisition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disposition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plan</w:t>
      </w:r>
      <w:r>
        <w:rPr>
          <w:color w:val="6E6158"/>
          <w:spacing w:val="31"/>
        </w:rPr>
        <w:t> </w:t>
      </w:r>
      <w:r>
        <w:rPr>
          <w:color w:val="6E6158"/>
        </w:rPr>
        <w:t>assets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137588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77pt;width:1.65pt;height:1.65pt;mso-position-horizontal-relative:page;mso-position-vertical-relative:paragraph;z-index:15734272" id="docshape17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Multiemployer</w:t>
      </w:r>
      <w:r>
        <w:rPr>
          <w:color w:val="6E6158"/>
          <w:spacing w:val="19"/>
        </w:rPr>
        <w:t> </w:t>
      </w:r>
      <w:r>
        <w:rPr>
          <w:color w:val="6E6158"/>
        </w:rPr>
        <w:t>plan</w:t>
      </w:r>
      <w:r>
        <w:rPr>
          <w:color w:val="6E6158"/>
          <w:spacing w:val="19"/>
        </w:rPr>
        <w:t> </w:t>
      </w:r>
      <w:r>
        <w:rPr>
          <w:color w:val="6E6158"/>
        </w:rPr>
        <w:t>compliance,</w:t>
      </w:r>
      <w:r>
        <w:rPr>
          <w:color w:val="6E6158"/>
          <w:spacing w:val="19"/>
        </w:rPr>
        <w:t> </w:t>
      </w:r>
      <w:r>
        <w:rPr>
          <w:color w:val="6E6158"/>
        </w:rPr>
        <w:t>administration,</w:t>
      </w:r>
      <w:r>
        <w:rPr>
          <w:color w:val="6E6158"/>
          <w:spacing w:val="19"/>
        </w:rPr>
        <w:t> </w:t>
      </w:r>
      <w:r>
        <w:rPr>
          <w:color w:val="6E6158"/>
        </w:rPr>
        <w:t>withdrawal</w:t>
      </w:r>
      <w:r>
        <w:rPr>
          <w:color w:val="6E6158"/>
          <w:spacing w:val="19"/>
        </w:rPr>
        <w:t> </w:t>
      </w:r>
      <w:r>
        <w:rPr>
          <w:color w:val="6E6158"/>
        </w:rPr>
        <w:t>liability,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funding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104"/>
      </w:pPr>
      <w:r>
        <w:rPr>
          <w:color w:val="6E6158"/>
        </w:rPr>
        <w:t>Jenny</w:t>
      </w:r>
      <w:r>
        <w:rPr>
          <w:color w:val="6E6158"/>
          <w:spacing w:val="11"/>
        </w:rPr>
        <w:t> </w:t>
      </w:r>
      <w:r>
        <w:rPr>
          <w:color w:val="6E6158"/>
        </w:rPr>
        <w:t>obtained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J.D.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Nebraska-Lincoln,</w:t>
      </w:r>
      <w:r>
        <w:rPr>
          <w:color w:val="6E6158"/>
          <w:spacing w:val="11"/>
        </w:rPr>
        <w:t> </w:t>
      </w:r>
      <w:r>
        <w:rPr>
          <w:color w:val="6E6158"/>
        </w:rPr>
        <w:t>where</w:t>
      </w:r>
      <w:r>
        <w:rPr>
          <w:color w:val="6E6158"/>
          <w:spacing w:val="12"/>
        </w:rPr>
        <w:t> </w:t>
      </w:r>
      <w:r>
        <w:rPr>
          <w:color w:val="6E6158"/>
        </w:rPr>
        <w:t>she</w:t>
      </w:r>
      <w:r>
        <w:rPr>
          <w:color w:val="6E6158"/>
          <w:spacing w:val="12"/>
        </w:rPr>
        <w:t> </w:t>
      </w:r>
      <w:r>
        <w:rPr>
          <w:color w:val="6E6158"/>
        </w:rPr>
        <w:t>served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7" w:lineRule="auto" w:before="52"/>
        <w:ind w:left="104" w:right="486"/>
      </w:pPr>
      <w:r>
        <w:rPr>
          <w:color w:val="6E6158"/>
        </w:rPr>
        <w:t>Nebraska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Review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graduated</w:t>
      </w:r>
      <w:r>
        <w:rPr>
          <w:color w:val="6E6158"/>
          <w:spacing w:val="26"/>
        </w:rPr>
        <w:t> </w:t>
      </w:r>
      <w:r>
        <w:rPr>
          <w:color w:val="6E6158"/>
        </w:rPr>
        <w:t>Order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Coif.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obtained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Bachelor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Arts</w:t>
      </w:r>
      <w:r>
        <w:rPr>
          <w:color w:val="6E6158"/>
          <w:spacing w:val="26"/>
        </w:rPr>
        <w:t> </w:t>
      </w:r>
      <w:r>
        <w:rPr>
          <w:color w:val="6E6158"/>
        </w:rPr>
        <w:t>from the University of British Columbia. Jenny lives in Denver, CO with her husband Bill. In her free time,</w:t>
      </w:r>
      <w:r>
        <w:rPr>
          <w:color w:val="6E6158"/>
          <w:spacing w:val="40"/>
        </w:rPr>
        <w:t> </w:t>
      </w:r>
      <w:r>
        <w:rPr>
          <w:color w:val="6E6158"/>
        </w:rPr>
        <w:t>she likes to read, cook, and travel the world.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50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152923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198pt;width:1.65pt;height:1.65pt;mso-position-horizontal-relative:page;mso-position-vertical-relative:paragraph;z-index:15734784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411288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4945pt;width:1.65pt;height:1.65pt;mso-position-horizontal-relative:page;mso-position-vertical-relative:paragraph;z-index:15735296" id="docshape19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Nebraska College of </w:t>
      </w:r>
      <w:r>
        <w:rPr>
          <w:color w:val="6E6158"/>
        </w:rPr>
        <w:t>Law</w:t>
      </w:r>
      <w:r>
        <w:rPr>
          <w:color w:val="6E6158"/>
        </w:rPr>
        <w:t> B.A., University of British Columbia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152583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462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ERISA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6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152952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473pt;width:1.65pt;height:1.65pt;mso-position-horizontal-relative:page;mso-position-vertical-relative:paragraph;z-index:15736320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</w:t>
      </w:r>
      <w:hyperlink r:id="rId11">
        <w:r>
          <w:rPr>
            <w:color w:val="F5821F"/>
          </w:rPr>
          <w:t>Buying Or Selling A Business? Don’t Forget To Look Out For These Employee Benefits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Issues!</w:t>
        </w:r>
      </w:hyperlink>
      <w:r>
        <w:rPr>
          <w:color w:val="6E6158"/>
        </w:rPr>
        <w:t>, Fennemore Blog, June 26, 2024</w:t>
      </w:r>
    </w:p>
    <w:p>
      <w:pPr>
        <w:pStyle w:val="Heading1"/>
        <w:spacing w:before="293"/>
        <w:ind w:left="0" w:right="803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8374" w:hanging="8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152529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18pt;width:1.65pt;height:1.65pt;mso-position-horizontal-relative:page;mso-position-vertical-relative:paragraph;z-index:15736832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410894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3928pt;width:1.65pt;height:1.65pt;mso-position-horizontal-relative:page;mso-position-vertical-relative:paragraph;z-index:15737344" id="docshape23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Minnesota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risa-and-employee-benefit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zhang@fennemorelaw.com" TargetMode="External"/><Relationship Id="rId11" Type="http://schemas.openxmlformats.org/officeDocument/2006/relationships/hyperlink" Target="https://www.fennemorelaw.com/buying-or-selling-a-business-dont-forget-to-look-out-for-these-employee-benefits-issu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2025-01-06T16:34:01Z</dcterms:created>
  <dcterms:modified xsi:type="dcterms:W3CDTF">2025-01-06T16:34:01Z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