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68" w:right="666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D.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TENNERT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III</w:t>
                              </w:r>
                            </w:p>
                            <w:p>
                              <w:pPr>
                                <w:spacing w:before="48"/>
                                <w:ind w:left="668" w:right="66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668" w:right="66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68" w:right="66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775.788.2212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775.788.2213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68" w:right="66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jtennert@fennemorelaw.com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68" w:right="666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</w:t>
                        </w:r>
                        <w:r>
                          <w:rPr>
                            <w:color w:val="FFFFFF"/>
                            <w:spacing w:val="-1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D.</w:t>
                        </w:r>
                        <w:r>
                          <w:rPr>
                            <w:color w:val="FFFFFF"/>
                            <w:spacing w:val="-1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TENNERT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III</w:t>
                        </w:r>
                      </w:p>
                      <w:p>
                        <w:pPr>
                          <w:spacing w:before="48"/>
                          <w:ind w:left="668" w:right="66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668" w:right="66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68" w:right="66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775.788.2212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775.788.2213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668" w:right="66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jtennert@fennemorelaw.com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JOHN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D.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TENNERT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5"/>
          <w:sz w:val="24"/>
        </w:rPr>
        <w:t>III</w:t>
      </w:r>
    </w:p>
    <w:p>
      <w:pPr>
        <w:pStyle w:val="BodyText"/>
        <w:spacing w:before="147"/>
        <w:ind w:left="104"/>
      </w:pPr>
      <w:r>
        <w:rPr>
          <w:color w:val="6E6158"/>
        </w:rPr>
        <w:t>John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managing</w:t>
      </w:r>
      <w:r>
        <w:rPr>
          <w:color w:val="6E6158"/>
          <w:spacing w:val="10"/>
        </w:rPr>
        <w:t> </w:t>
      </w:r>
      <w:r>
        <w:rPr>
          <w:color w:val="6E6158"/>
        </w:rPr>
        <w:t>partner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Reno</w:t>
      </w:r>
      <w:r>
        <w:rPr>
          <w:color w:val="6E6158"/>
          <w:spacing w:val="10"/>
        </w:rPr>
        <w:t> </w:t>
      </w:r>
      <w:r>
        <w:rPr>
          <w:color w:val="6E6158"/>
        </w:rPr>
        <w:t>office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member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firm’s</w:t>
      </w:r>
      <w:r>
        <w:rPr>
          <w:color w:val="6E6158"/>
          <w:spacing w:val="10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292" w:lineRule="auto" w:before="60"/>
        <w:ind w:left="104" w:right="627"/>
      </w:pPr>
      <w:r>
        <w:rPr>
          <w:color w:val="6E6158"/>
        </w:rPr>
        <w:t>practice. He represents businesses and individuals in a variety of complex civil litigation, </w:t>
      </w:r>
      <w:r>
        <w:rPr>
          <w:color w:val="6E6158"/>
        </w:rPr>
        <w:t>financial</w:t>
      </w:r>
      <w:r>
        <w:rPr>
          <w:color w:val="6E6158"/>
          <w:spacing w:val="40"/>
        </w:rPr>
        <w:t> </w:t>
      </w:r>
      <w:r>
        <w:rPr>
          <w:color w:val="6E6158"/>
        </w:rPr>
        <w:t>service and natural resource matters, and has handled matters involving contract disputes,</w:t>
      </w:r>
      <w:r>
        <w:rPr>
          <w:color w:val="6E6158"/>
          <w:spacing w:val="40"/>
        </w:rPr>
        <w:t> </w:t>
      </w:r>
      <w:r>
        <w:rPr>
          <w:color w:val="6E6158"/>
        </w:rPr>
        <w:t>business torts, fraud, environmental issues and creditors’ rights litigation.</w:t>
      </w:r>
    </w:p>
    <w:p>
      <w:pPr>
        <w:pStyle w:val="BodyText"/>
        <w:spacing w:line="295" w:lineRule="auto" w:before="197"/>
        <w:ind w:left="104" w:right="627"/>
      </w:pPr>
      <w:r>
        <w:rPr>
          <w:color w:val="6E6158"/>
        </w:rPr>
        <w:t>John is a fierce advocate for his clients, and enjoys finding creative strategies to complex legal</w:t>
      </w:r>
      <w:r>
        <w:rPr>
          <w:color w:val="6E6158"/>
          <w:spacing w:val="40"/>
        </w:rPr>
        <w:t> </w:t>
      </w:r>
      <w:r>
        <w:rPr>
          <w:color w:val="6E6158"/>
        </w:rPr>
        <w:t>issues. He has argued before Nevada State and Federal courts, including the Nevada Supreme</w:t>
      </w:r>
      <w:r>
        <w:rPr>
          <w:color w:val="6E6158"/>
          <w:spacing w:val="40"/>
        </w:rPr>
        <w:t> </w:t>
      </w:r>
      <w:r>
        <w:rPr>
          <w:color w:val="6E6158"/>
        </w:rPr>
        <w:t>Court and the Bankruptcy Appellate Panel for the Ninth Circuit, on multiple subjects including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35"/>
        </w:rPr>
        <w:t> </w:t>
      </w:r>
      <w:r>
        <w:rPr>
          <w:color w:val="6E6158"/>
        </w:rPr>
        <w:t>law,</w:t>
      </w:r>
      <w:r>
        <w:rPr>
          <w:color w:val="6E6158"/>
          <w:spacing w:val="35"/>
        </w:rPr>
        <w:t> </w:t>
      </w:r>
      <w:r>
        <w:rPr>
          <w:color w:val="6E6158"/>
        </w:rPr>
        <w:t>Nevada</w:t>
      </w:r>
      <w:r>
        <w:rPr>
          <w:color w:val="6E6158"/>
          <w:spacing w:val="35"/>
        </w:rPr>
        <w:t> </w:t>
      </w:r>
      <w:r>
        <w:rPr>
          <w:color w:val="6E6158"/>
        </w:rPr>
        <w:t>foreclosure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deficiency</w:t>
      </w:r>
      <w:r>
        <w:rPr>
          <w:color w:val="6E6158"/>
          <w:spacing w:val="35"/>
        </w:rPr>
        <w:t> </w:t>
      </w:r>
      <w:r>
        <w:rPr>
          <w:color w:val="6E6158"/>
        </w:rPr>
        <w:t>laws,</w:t>
      </w:r>
      <w:r>
        <w:rPr>
          <w:color w:val="6E6158"/>
          <w:spacing w:val="35"/>
        </w:rPr>
        <w:t> </w:t>
      </w:r>
      <w:r>
        <w:rPr>
          <w:color w:val="6E6158"/>
        </w:rPr>
        <w:t>state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federal</w:t>
      </w:r>
      <w:r>
        <w:rPr>
          <w:color w:val="6E6158"/>
          <w:spacing w:val="35"/>
        </w:rPr>
        <w:t> </w:t>
      </w:r>
      <w:r>
        <w:rPr>
          <w:color w:val="6E6158"/>
        </w:rPr>
        <w:t>environmental</w:t>
      </w:r>
      <w:r>
        <w:rPr>
          <w:color w:val="6E6158"/>
          <w:spacing w:val="35"/>
        </w:rPr>
        <w:t> </w:t>
      </w:r>
      <w:r>
        <w:rPr>
          <w:color w:val="6E6158"/>
        </w:rPr>
        <w:t>law,</w:t>
      </w:r>
    </w:p>
    <w:p>
      <w:pPr>
        <w:pStyle w:val="BodyText"/>
        <w:spacing w:line="302" w:lineRule="auto" w:before="1"/>
        <w:ind w:left="104"/>
      </w:pPr>
      <w:r>
        <w:rPr>
          <w:color w:val="6E6158"/>
        </w:rPr>
        <w:t>corporate law, constitutional law, federal and Nevada jurisdiction and procedure, and </w:t>
      </w:r>
      <w:r>
        <w:rPr>
          <w:color w:val="6E6158"/>
        </w:rPr>
        <w:t>statutory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interpretation.</w:t>
      </w:r>
    </w:p>
    <w:p>
      <w:pPr>
        <w:pStyle w:val="BodyText"/>
        <w:spacing w:line="292" w:lineRule="auto" w:before="186"/>
        <w:ind w:left="104" w:right="627"/>
      </w:pPr>
      <w:r>
        <w:rPr>
          <w:color w:val="6E6158"/>
        </w:rPr>
        <w:t>Away from the office, John serves on the University of Nevada Planned Giving Advisory Council</w:t>
      </w:r>
      <w:r>
        <w:rPr>
          <w:color w:val="6E6158"/>
          <w:spacing w:val="40"/>
        </w:rPr>
        <w:t> </w:t>
      </w:r>
      <w:r>
        <w:rPr>
          <w:color w:val="6E6158"/>
        </w:rPr>
        <w:t>and enjoys rooting for the University of Nevada, Reno, where he was a four-year starter on the</w:t>
      </w:r>
      <w:r>
        <w:rPr>
          <w:color w:val="6E6158"/>
          <w:spacing w:val="40"/>
        </w:rPr>
        <w:t> </w:t>
      </w:r>
      <w:r>
        <w:rPr>
          <w:color w:val="6E6158"/>
        </w:rPr>
        <w:t>offensive line.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152425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989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Gonzaga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168719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4996pt;width:1.65pt;height:1.65pt;mso-position-horizontal-relative:page;mso-position-vertical-relative:paragraph;z-index:15729664" id="docshape8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Nevada,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Reno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59829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0979pt;width:1.65pt;height:1.65pt;mso-position-horizontal-relative:page;mso-position-vertical-relative:paragraph;z-index:15730176" id="docshape9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2" w:lineRule="auto" w:before="174"/>
        <w:ind w:right="70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170269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023pt;width:1.65pt;height:1.65pt;mso-position-horizontal-relative:page;mso-position-vertical-relative:paragraph;z-index:15730688" id="docshape1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433802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7646pt;width:1.65pt;height:1.65pt;mso-position-horizontal-relative:page;mso-position-vertical-relative:paragraph;z-index:15731200" id="docshape11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692167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501396pt;width:1.65pt;height:1.65pt;mso-position-horizontal-relative:page;mso-position-vertical-relative:paragraph;z-index:15731712" id="docshape12" coordorigin="1675,1090" coordsize="33,33" path="m1696,1123l1687,1123,1683,1121,1676,1115,1675,1111,1675,1102,1676,1098,1683,1092,1687,1090,1696,1090,1699,1092,1706,1098,1707,1102,1707,1106,1707,1111,1706,1115,1699,1121,1696,1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Business &amp; Finance Financial </w:t>
      </w:r>
      <w:r>
        <w:rPr>
          <w:color w:val="6E6158"/>
        </w:rPr>
        <w:t>Restructuring</w:t>
      </w:r>
    </w:p>
    <w:p>
      <w:pPr>
        <w:pStyle w:val="BodyText"/>
        <w:spacing w:after="0" w:line="42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5"/>
        <w:ind w:right="65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321100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83468pt;width:1.65pt;height:1.65pt;mso-position-horizontal-relative:page;mso-position-vertical-relative:paragraph;z-index:15732224" id="docshape14" coordorigin="1675,506" coordsize="33,33" path="m1696,538l1687,538,1683,537,1676,530,1675,526,1675,517,1676,514,1683,507,1687,506,1696,506,1699,507,1706,514,1707,517,1707,522,1707,526,1706,530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23"/>
        </w:rPr>
        <w:t> </w:t>
      </w:r>
      <w:r>
        <w:rPr>
          <w:color w:val="6E6158"/>
        </w:rPr>
        <w:t>Resources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Blockchain &amp; Cryptocurrency</w:t>
      </w:r>
    </w:p>
    <w:p>
      <w:pPr>
        <w:pStyle w:val="Heading1"/>
        <w:spacing w:before="46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6"/>
        <w:ind w:right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152525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858pt;width:1.65pt;height:1.65pt;mso-position-horizontal-relative:page;mso-position-vertical-relative:paragraph;z-index:15732736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Representing national bank in Attorney General lawsuit asserting violations of </w:t>
      </w:r>
      <w:r>
        <w:rPr>
          <w:color w:val="6E6158"/>
        </w:rPr>
        <w:t>consumer protection laws.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138097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832pt;width:1.65pt;height:1.65pt;mso-position-horizontal-relative:page;mso-position-vertical-relative:paragraph;z-index:15733248" id="docshape1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Defending</w:t>
      </w:r>
      <w:r>
        <w:rPr>
          <w:color w:val="6E6158"/>
          <w:spacing w:val="19"/>
        </w:rPr>
        <w:t> </w:t>
      </w:r>
      <w:r>
        <w:rPr>
          <w:color w:val="6E6158"/>
        </w:rPr>
        <w:t>multinational</w:t>
      </w:r>
      <w:r>
        <w:rPr>
          <w:color w:val="6E6158"/>
          <w:spacing w:val="19"/>
        </w:rPr>
        <w:t> </w:t>
      </w:r>
      <w:r>
        <w:rPr>
          <w:color w:val="6E6158"/>
        </w:rPr>
        <w:t>telecommunications</w:t>
      </w:r>
      <w:r>
        <w:rPr>
          <w:color w:val="6E6158"/>
          <w:spacing w:val="19"/>
        </w:rPr>
        <w:t> </w:t>
      </w:r>
      <w:r>
        <w:rPr>
          <w:color w:val="6E6158"/>
        </w:rPr>
        <w:t>corporation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lawsuit</w:t>
      </w:r>
      <w:r>
        <w:rPr>
          <w:color w:val="6E6158"/>
          <w:spacing w:val="19"/>
        </w:rPr>
        <w:t> </w:t>
      </w:r>
      <w:r>
        <w:rPr>
          <w:color w:val="6E6158"/>
        </w:rPr>
        <w:t>asserting</w:t>
      </w:r>
      <w:r>
        <w:rPr>
          <w:color w:val="6E6158"/>
          <w:spacing w:val="19"/>
        </w:rPr>
        <w:t> </w:t>
      </w:r>
      <w:r>
        <w:rPr>
          <w:color w:val="6E6158"/>
        </w:rPr>
        <w:t>claims</w:t>
      </w:r>
      <w:r>
        <w:rPr>
          <w:color w:val="6E6158"/>
          <w:spacing w:val="20"/>
        </w:rPr>
        <w:t> </w:t>
      </w:r>
      <w:r>
        <w:rPr>
          <w:color w:val="6E6158"/>
          <w:spacing w:val="-5"/>
        </w:rPr>
        <w:t>for</w:t>
      </w:r>
    </w:p>
    <w:p>
      <w:pPr>
        <w:pStyle w:val="BodyText"/>
        <w:spacing w:before="52"/>
      </w:pPr>
      <w:r>
        <w:rPr>
          <w:color w:val="6E6158"/>
        </w:rPr>
        <w:t>fraudulent</w:t>
      </w:r>
      <w:r>
        <w:rPr>
          <w:color w:val="6E6158"/>
          <w:spacing w:val="14"/>
        </w:rPr>
        <w:t> </w:t>
      </w:r>
      <w:r>
        <w:rPr>
          <w:color w:val="6E6158"/>
        </w:rPr>
        <w:t>inducement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advertising</w:t>
      </w:r>
      <w:r>
        <w:rPr>
          <w:color w:val="6E6158"/>
          <w:spacing w:val="14"/>
        </w:rPr>
        <w:t> </w:t>
      </w:r>
      <w:r>
        <w:rPr>
          <w:color w:val="6E6158"/>
        </w:rPr>
        <w:t>contract,</w:t>
      </w:r>
      <w:r>
        <w:rPr>
          <w:color w:val="6E6158"/>
          <w:spacing w:val="14"/>
        </w:rPr>
        <w:t> </w:t>
      </w:r>
      <w:r>
        <w:rPr>
          <w:color w:val="6E6158"/>
        </w:rPr>
        <w:t>obtaining</w:t>
      </w:r>
      <w:r>
        <w:rPr>
          <w:color w:val="6E6158"/>
          <w:spacing w:val="14"/>
        </w:rPr>
        <w:t> </w:t>
      </w:r>
      <w:r>
        <w:rPr>
          <w:color w:val="6E6158"/>
        </w:rPr>
        <w:t>dismissal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lawsuit</w:t>
      </w:r>
      <w:r>
        <w:rPr>
          <w:color w:val="6E6158"/>
          <w:spacing w:val="14"/>
        </w:rPr>
        <w:t> </w:t>
      </w:r>
      <w:r>
        <w:rPr>
          <w:color w:val="6E6158"/>
        </w:rPr>
        <w:t>prior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trial.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174874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67pt;width:1.65pt;height:1.65pt;mso-position-horizontal-relative:page;mso-position-vertical-relative:paragraph;z-index:15733760" id="docshape1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Representing international defendants in intentional tort action, resulting in dismissal for lack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personal jurisdiction.</w:t>
      </w:r>
    </w:p>
    <w:p>
      <w:pPr>
        <w:pStyle w:val="BodyText"/>
        <w:spacing w:line="292" w:lineRule="auto" w:before="123"/>
        <w:ind w:right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137587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3644pt;width:1.65pt;height:1.65pt;mso-position-horizontal-relative:page;mso-position-vertical-relative:paragraph;z-index:15734272" id="docshape18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Defending local property management company in personal injury lawsuit brought by </w:t>
      </w:r>
      <w:r>
        <w:rPr>
          <w:color w:val="6E6158"/>
        </w:rPr>
        <w:t>former</w:t>
      </w:r>
      <w:r>
        <w:rPr>
          <w:color w:val="6E6158"/>
          <w:spacing w:val="40"/>
        </w:rPr>
        <w:t> </w:t>
      </w:r>
      <w:r>
        <w:rPr>
          <w:color w:val="6E6158"/>
        </w:rPr>
        <w:t>tenants, resulting in dismissal prior to trial.</w:t>
      </w:r>
    </w:p>
    <w:p>
      <w:pPr>
        <w:pStyle w:val="BodyText"/>
        <w:spacing w:line="292" w:lineRule="auto" w:before="131"/>
        <w:ind w:right="7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142932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492pt;width:1.65pt;height:1.65pt;mso-position-horizontal-relative:page;mso-position-vertical-relative:paragraph;z-index:15734784" id="docshape1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Counseling mining companies on issues ranging from regulatory compliance and </w:t>
      </w:r>
      <w:r>
        <w:rPr>
          <w:color w:val="6E6158"/>
        </w:rPr>
        <w:t>permitting</w:t>
      </w:r>
      <w:r>
        <w:rPr>
          <w:color w:val="6E6158"/>
          <w:spacing w:val="80"/>
        </w:rPr>
        <w:t> </w:t>
      </w:r>
      <w:r>
        <w:rPr>
          <w:color w:val="6E6158"/>
        </w:rPr>
        <w:t>to litigation.</w:t>
      </w:r>
    </w:p>
    <w:p>
      <w:pPr>
        <w:pStyle w:val="BodyText"/>
        <w:spacing w:line="302" w:lineRule="auto" w:before="124"/>
        <w:ind w:right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138029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465pt;width:1.65pt;height:1.65pt;mso-position-horizontal-relative:page;mso-position-vertical-relative:paragraph;z-index:15735296" id="docshape2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Defending Nevada companies and their principal in a lawsuit asserting fraud and breach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contract, resulting in a favorable settlement and dismissal.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130905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497pt;width:1.65pt;height:1.65pt;mso-position-horizontal-relative:page;mso-position-vertical-relative:paragraph;z-index:15735808" id="docshape21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Representing</w:t>
      </w:r>
      <w:r>
        <w:rPr>
          <w:color w:val="6E6158"/>
          <w:spacing w:val="15"/>
        </w:rPr>
        <w:t> </w:t>
      </w:r>
      <w:r>
        <w:rPr>
          <w:color w:val="6E6158"/>
        </w:rPr>
        <w:t>secured</w:t>
      </w:r>
      <w:r>
        <w:rPr>
          <w:color w:val="6E6158"/>
          <w:spacing w:val="15"/>
        </w:rPr>
        <w:t> </w:t>
      </w:r>
      <w:r>
        <w:rPr>
          <w:color w:val="6E6158"/>
        </w:rPr>
        <w:t>creditors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numerous</w:t>
      </w:r>
      <w:r>
        <w:rPr>
          <w:color w:val="6E6158"/>
          <w:spacing w:val="15"/>
        </w:rPr>
        <w:t> </w:t>
      </w:r>
      <w:r>
        <w:rPr>
          <w:color w:val="6E6158"/>
        </w:rPr>
        <w:t>Chapter</w:t>
      </w:r>
      <w:r>
        <w:rPr>
          <w:color w:val="6E6158"/>
          <w:spacing w:val="15"/>
        </w:rPr>
        <w:t> </w:t>
      </w:r>
      <w:r>
        <w:rPr>
          <w:color w:val="6E6158"/>
        </w:rPr>
        <w:t>11</w:t>
      </w:r>
      <w:r>
        <w:rPr>
          <w:color w:val="6E6158"/>
          <w:spacing w:val="15"/>
        </w:rPr>
        <w:t> </w:t>
      </w:r>
      <w:r>
        <w:rPr>
          <w:color w:val="6E6158"/>
        </w:rPr>
        <w:t>bankruptcy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proceedings.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398" w:lineRule="auto" w:before="140"/>
        <w:ind w:left="356" w:right="314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152863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509pt;width:1.65pt;height:1.65pt;mso-position-horizontal-relative:page;mso-position-vertical-relative:paragraph;z-index:15736320" id="docshape22" coordorigin="1675,241" coordsize="33,33" path="m1696,273l1687,273,1683,272,1676,265,1675,261,1675,253,1676,249,1683,242,1687,241,1696,241,1699,242,1706,249,1707,253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431898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7759pt;width:1.65pt;height:1.65pt;mso-position-horizontal-relative:page;mso-position-vertical-relative:paragraph;z-index:15736832" id="docshape23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Litigation – Construction, 2022-</w:t>
      </w:r>
      <w:r>
        <w:rPr>
          <w:color w:val="6E6158"/>
          <w:sz w:val="19"/>
        </w:rPr>
        <w:t>2025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2012-2022</w:t>
      </w:r>
    </w:p>
    <w:p>
      <w:pPr>
        <w:spacing w:before="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70668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64437pt;width:1.65pt;height:1.65pt;mso-position-horizontal-relative:page;mso-position-vertical-relative:paragraph;z-index:15737344" id="docshape24" coordorigin="1675,111" coordsize="33,33" path="m1696,144l1687,144,1683,142,1676,136,1675,132,1675,123,1676,119,1683,113,1687,111,1696,111,1699,113,1706,119,1707,123,1707,128,1707,132,1706,136,1699,142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Litigation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Hot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List,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2021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168877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7443pt;width:1.65pt;height:1.65pt;mso-position-horizontal-relative:page;mso-position-vertical-relative:paragraph;z-index:15737856" id="docshape25" coordorigin="1675,266" coordsize="33,33" path="m1696,298l1687,298,1683,297,1676,291,1675,287,1675,278,1676,274,1683,268,1687,266,1696,266,1699,268,1706,274,1707,278,1707,282,1707,287,1706,291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Mountain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States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Stars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pacing w:val="-2"/>
          <w:sz w:val="19"/>
        </w:rPr>
        <w:t>2017-</w:t>
      </w:r>
      <w:r>
        <w:rPr>
          <w:color w:val="6E6158"/>
          <w:spacing w:val="-4"/>
          <w:sz w:val="19"/>
        </w:rPr>
        <w:t>2021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168524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967pt;width:1.65pt;height:1.65pt;mso-position-horizontal-relative:page;mso-position-vertical-relative:paragraph;z-index:15738368" id="docshape26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“Best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Up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Coming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Attorneys,”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46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152939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52pt;width:1.65pt;height:1.65pt;mso-position-horizontal-relative:page;mso-position-vertical-relative:paragraph;z-index:15738880" id="docshape2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“People: John Tennert transitions to managing partner of Fennemore </w:t>
      </w:r>
      <w:r>
        <w:rPr>
          <w:color w:val="6E6158"/>
        </w:rPr>
        <w:t>Craig,” Northern Nevada Business Weekly, February 1, 2023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137877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492pt;width:1.65pt;height:1.65pt;mso-position-horizontal-relative:page;mso-position-vertical-relative:paragraph;z-index:15739392" id="docshape2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6"/>
        </w:rPr>
        <w:t> </w:t>
      </w:r>
      <w:r>
        <w:rPr>
          <w:color w:val="6E6158"/>
        </w:rPr>
        <w:t>“Compelling</w:t>
      </w:r>
      <w:r>
        <w:rPr>
          <w:color w:val="6E6158"/>
          <w:spacing w:val="6"/>
        </w:rPr>
        <w:t> </w:t>
      </w:r>
      <w:r>
        <w:rPr>
          <w:color w:val="6E6158"/>
        </w:rPr>
        <w:t>and</w:t>
      </w:r>
      <w:r>
        <w:rPr>
          <w:color w:val="6E6158"/>
          <w:spacing w:val="7"/>
        </w:rPr>
        <w:t> </w:t>
      </w:r>
      <w:r>
        <w:rPr>
          <w:color w:val="6E6158"/>
        </w:rPr>
        <w:t>Staying</w:t>
      </w:r>
      <w:r>
        <w:rPr>
          <w:color w:val="6E6158"/>
          <w:spacing w:val="6"/>
        </w:rPr>
        <w:t> </w:t>
      </w:r>
      <w:r>
        <w:rPr>
          <w:color w:val="6E6158"/>
        </w:rPr>
        <w:t>Arbitration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6"/>
        </w:rPr>
        <w:t> </w:t>
      </w:r>
      <w:r>
        <w:rPr>
          <w:color w:val="6E6158"/>
        </w:rPr>
        <w:t>Nevada,”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Practical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Law,</w:t>
      </w:r>
      <w:r>
        <w:rPr>
          <w:i/>
          <w:color w:val="6E6158"/>
          <w:spacing w:val="4"/>
          <w:sz w:val="20"/>
        </w:rPr>
        <w:t> </w:t>
      </w:r>
      <w:r>
        <w:rPr>
          <w:color w:val="6E6158"/>
        </w:rPr>
        <w:t>June,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right="31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152685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467pt;width:1.65pt;height:1.65pt;mso-position-horizontal-relative:page;mso-position-vertical-relative:paragraph;z-index:15739904" id="docshape2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416218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090pt;width:1.65pt;height:1.65pt;mso-position-horizontal-relative:page;mso-position-vertical-relative:paragraph;z-index:15740416" id="docshape3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674583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684pt;width:1.65pt;height:1.65pt;mso-position-horizontal-relative:page;mso-position-vertical-relative:paragraph;z-index:15740928" id="docshape31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932949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60587pt;width:1.65pt;height:1.65pt;mso-position-horizontal-relative:page;mso-position-vertical-relative:paragraph;z-index:15741440" id="docshape32" coordorigin="1675,1469" coordsize="33,33" path="m1696,1502l1687,1502,1683,1500,1676,1494,1675,1490,1675,1481,1676,1477,1683,1471,1687,1469,1696,1469,1699,1471,1706,1477,1707,1481,1707,1485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University of Nevada Planned Giving Advisory </w:t>
      </w:r>
      <w:r>
        <w:rPr>
          <w:color w:val="6E6158"/>
        </w:rPr>
        <w:t>Council Member, Bruce R. Thompson Chapter, American Inns of Court Member, University of Nevada Football Alumni Association Executive Board Member, Young Professionals Committee</w:t>
      </w:r>
    </w:p>
    <w:p>
      <w:pPr>
        <w:pStyle w:val="BodyText"/>
        <w:spacing w:befor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61739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6137pt;width:1.65pt;height:1.65pt;mso-position-horizontal-relative:page;mso-position-vertical-relative:paragraph;z-index:15741952" id="docshape33" coordorigin="1675,97" coordsize="33,33" path="m1696,130l1687,130,1683,128,1676,122,1675,118,1675,109,1676,105,1683,99,1687,97,1696,97,1699,99,1706,105,1707,109,1707,114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Graduate,</w:t>
      </w:r>
      <w:r>
        <w:rPr>
          <w:color w:val="6E6158"/>
          <w:spacing w:val="18"/>
        </w:rPr>
        <w:t> </w:t>
      </w:r>
      <w:r>
        <w:rPr>
          <w:color w:val="6E6158"/>
        </w:rPr>
        <w:t>Chamber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Commerce’s</w:t>
      </w:r>
      <w:r>
        <w:rPr>
          <w:color w:val="6E6158"/>
          <w:spacing w:val="18"/>
        </w:rPr>
        <w:t> </w:t>
      </w:r>
      <w:r>
        <w:rPr>
          <w:color w:val="6E6158"/>
        </w:rPr>
        <w:t>Leadership</w:t>
      </w:r>
      <w:r>
        <w:rPr>
          <w:color w:val="6E6158"/>
          <w:spacing w:val="18"/>
        </w:rPr>
        <w:t> </w:t>
      </w:r>
      <w:r>
        <w:rPr>
          <w:color w:val="6E6158"/>
        </w:rPr>
        <w:t>Reno-Sparks</w:t>
      </w:r>
      <w:r>
        <w:rPr>
          <w:color w:val="6E6158"/>
          <w:spacing w:val="19"/>
        </w:rPr>
        <w:t> </w:t>
      </w:r>
      <w:r>
        <w:rPr>
          <w:color w:val="6E6158"/>
        </w:rPr>
        <w:t>program,</w:t>
      </w:r>
      <w:r>
        <w:rPr>
          <w:color w:val="6E6158"/>
          <w:spacing w:val="18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74"/>
        <w:ind w:right="7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170274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414pt;width:1.65pt;height:1.65pt;mso-position-horizontal-relative:page;mso-position-vertical-relative:paragraph;z-index:15742464" id="docshape3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District Representative for Nevada and Utah American Bar Association, Young </w:t>
      </w:r>
      <w:r>
        <w:rPr>
          <w:color w:val="6E6158"/>
        </w:rPr>
        <w:t>Lawyers Division, 2010-2012</w:t>
      </w:r>
    </w:p>
    <w:p>
      <w:pPr>
        <w:pStyle w:val="Heading1"/>
        <w:spacing w:before="285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headerReference w:type="default" r:id="rId11"/>
          <w:pgSz w:w="12240" w:h="15840"/>
          <w:pgMar w:header="383" w:footer="0" w:top="580" w:bottom="280" w:left="1440" w:right="1080"/>
        </w:sectPr>
      </w:pPr>
    </w:p>
    <w:p>
      <w:pPr>
        <w:pStyle w:val="BodyText"/>
        <w:spacing w:before="5"/>
      </w:pPr>
      <w:r>
        <w:rPr>
          <w:color w:val="6E6158"/>
          <w:spacing w:val="-2"/>
        </w:rPr>
        <w:t>Nevada</w:t>
      </w:r>
    </w:p>
    <w:sectPr>
      <w:pgSz w:w="12240" w:h="15840"/>
      <w:pgMar w:header="383" w:footer="0"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1063521</wp:posOffset>
              </wp:positionH>
              <wp:positionV relativeFrom="page">
                <wp:posOffset>433109</wp:posOffset>
              </wp:positionV>
              <wp:extent cx="20955" cy="2095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9"/>
                            </a:lnTo>
                            <a:lnTo>
                              <a:pt x="1009" y="15623"/>
                            </a:lnTo>
                            <a:lnTo>
                              <a:pt x="0" y="13187"/>
                            </a:lnTo>
                            <a:lnTo>
                              <a:pt x="0" y="7480"/>
                            </a:lnTo>
                            <a:lnTo>
                              <a:pt x="1009" y="5044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4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7"/>
                            </a:lnTo>
                            <a:lnTo>
                              <a:pt x="19660" y="15623"/>
                            </a:lnTo>
                            <a:lnTo>
                              <a:pt x="15624" y="19659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741867pt;margin-top:34.103134pt;width:1.65pt;height:1.65pt;mso-position-horizontal-relative:page;mso-position-vertical-relative:page;z-index:-15795712" id="docshape13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<v:path arrowok="t"/>
              <v:fill type="solid"/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jtennert@fennemorelaw.com" TargetMode="External"/><Relationship Id="rId11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2025-01-02T06:51:28Z</dcterms:created>
  <dcterms:modified xsi:type="dcterms:W3CDTF">2025-01-02T06:51:28Z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