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67939" y="763308"/>
                            <a:ext cx="15767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JOSH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BETHEA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26035" y="2490038"/>
                            <a:ext cx="16605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joshbethea@fennemorelaw.com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39634" y="3745695"/>
                            <a:ext cx="20034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down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seven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times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eight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times.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Traditional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Proverb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9836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JOSH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BETHEA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74;top:1762;width:248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JOSH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BETHEA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208;top:4481;width:261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joshbethea@fennemorelaw.com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53;top:6458;width:315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down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seven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times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up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eight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times.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Traditional</w:t>
                        </w:r>
                        <w:r>
                          <w:rPr>
                            <w:color w:val="FFFFFF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Proverb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54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JOSH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BETHEA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329"/>
      </w:pPr>
      <w:r>
        <w:rPr>
          <w:color w:val="6E6158"/>
        </w:rPr>
        <w:t>Josh Bethea is an associate attorney in our Trusts, Estates &amp; Wealth Preservation practice group</w:t>
      </w:r>
      <w:r>
        <w:rPr>
          <w:color w:val="6E6158"/>
          <w:spacing w:val="40"/>
        </w:rPr>
        <w:t> </w:t>
      </w:r>
      <w:r>
        <w:rPr>
          <w:color w:val="6E6158"/>
        </w:rPr>
        <w:t>who works out of our Phoenix office. Josh has experience drafting durable powers of attorney,</w:t>
      </w:r>
      <w:r>
        <w:rPr>
          <w:color w:val="6E6158"/>
          <w:spacing w:val="40"/>
        </w:rPr>
        <w:t> </w:t>
      </w:r>
      <w:r>
        <w:rPr>
          <w:color w:val="6E6158"/>
        </w:rPr>
        <w:t>health care powers of attorney, deeds moving real property title into trust, diagrams of estate</w:t>
      </w:r>
      <w:r>
        <w:rPr>
          <w:color w:val="6E6158"/>
          <w:spacing w:val="40"/>
        </w:rPr>
        <w:t> </w:t>
      </w:r>
      <w:r>
        <w:rPr>
          <w:color w:val="6E6158"/>
        </w:rPr>
        <w:t>dispositions, and other ancillary estate planning documents. He also prepares IRC § 1023 filings</w:t>
      </w:r>
      <w:r>
        <w:rPr>
          <w:color w:val="6E6158"/>
          <w:spacing w:val="40"/>
        </w:rPr>
        <w:t> </w:t>
      </w:r>
      <w:r>
        <w:rPr>
          <w:color w:val="6E6158"/>
        </w:rPr>
        <w:t>creating</w:t>
      </w:r>
      <w:r>
        <w:rPr>
          <w:color w:val="6E6158"/>
          <w:spacing w:val="34"/>
        </w:rPr>
        <w:t> </w:t>
      </w:r>
      <w:r>
        <w:rPr>
          <w:color w:val="6E6158"/>
        </w:rPr>
        <w:t>charitable</w:t>
      </w:r>
      <w:r>
        <w:rPr>
          <w:color w:val="6E6158"/>
          <w:spacing w:val="34"/>
        </w:rPr>
        <w:t> </w:t>
      </w:r>
      <w:r>
        <w:rPr>
          <w:color w:val="6E6158"/>
        </w:rPr>
        <w:t>foundations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clients,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familiar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comfortable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writing</w:t>
      </w:r>
    </w:p>
    <w:p>
      <w:pPr>
        <w:pStyle w:val="BodyText"/>
        <w:spacing w:line="292" w:lineRule="auto"/>
        <w:ind w:left="104" w:right="398"/>
      </w:pPr>
      <w:r>
        <w:rPr>
          <w:color w:val="6E6158"/>
        </w:rPr>
        <w:t>engagement letters, corresponding with clients, and participating in estate planning </w:t>
      </w:r>
      <w:r>
        <w:rPr>
          <w:color w:val="6E6158"/>
        </w:rPr>
        <w:t>sessions</w:t>
      </w:r>
      <w:r>
        <w:rPr>
          <w:color w:val="6E6158"/>
          <w:spacing w:val="40"/>
        </w:rPr>
        <w:t> </w:t>
      </w:r>
      <w:r>
        <w:rPr>
          <w:color w:val="6E6158"/>
        </w:rPr>
        <w:t>with clients.</w:t>
      </w:r>
    </w:p>
    <w:p>
      <w:pPr>
        <w:pStyle w:val="BodyText"/>
        <w:spacing w:line="295" w:lineRule="auto" w:before="192"/>
        <w:ind w:left="104" w:right="66"/>
      </w:pPr>
      <w:r>
        <w:rPr>
          <w:color w:val="6E6158"/>
        </w:rPr>
        <w:t>Born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Utah,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raised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Mesa,</w:t>
      </w:r>
      <w:r>
        <w:rPr>
          <w:color w:val="6E6158"/>
          <w:spacing w:val="23"/>
        </w:rPr>
        <w:t> </w:t>
      </w:r>
      <w:r>
        <w:rPr>
          <w:color w:val="6E6158"/>
        </w:rPr>
        <w:t>AZ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family</w:t>
      </w:r>
      <w:r>
        <w:rPr>
          <w:color w:val="6E6158"/>
          <w:spacing w:val="23"/>
        </w:rPr>
        <w:t> </w:t>
      </w:r>
      <w:r>
        <w:rPr>
          <w:color w:val="6E6158"/>
        </w:rPr>
        <w:t>where</w:t>
      </w:r>
      <w:r>
        <w:rPr>
          <w:color w:val="6E6158"/>
          <w:spacing w:val="23"/>
        </w:rPr>
        <w:t> </w:t>
      </w:r>
      <w:r>
        <w:rPr>
          <w:color w:val="6E6158"/>
        </w:rPr>
        <w:t>both</w:t>
      </w:r>
      <w:r>
        <w:rPr>
          <w:color w:val="6E6158"/>
          <w:spacing w:val="23"/>
        </w:rPr>
        <w:t> </w:t>
      </w:r>
      <w:r>
        <w:rPr>
          <w:color w:val="6E6158"/>
        </w:rPr>
        <w:t>parents</w:t>
      </w:r>
      <w:r>
        <w:rPr>
          <w:color w:val="6E6158"/>
          <w:spacing w:val="23"/>
        </w:rPr>
        <w:t> </w:t>
      </w:r>
      <w:r>
        <w:rPr>
          <w:color w:val="6E6158"/>
        </w:rPr>
        <w:t>are</w:t>
      </w:r>
      <w:r>
        <w:rPr>
          <w:color w:val="6E6158"/>
          <w:spacing w:val="23"/>
        </w:rPr>
        <w:t> </w:t>
      </w:r>
      <w:r>
        <w:rPr>
          <w:color w:val="6E6158"/>
        </w:rPr>
        <w:t>attorneys,</w:t>
      </w:r>
      <w:r>
        <w:rPr>
          <w:color w:val="6E6158"/>
          <w:spacing w:val="23"/>
        </w:rPr>
        <w:t> </w:t>
      </w:r>
      <w:r>
        <w:rPr>
          <w:color w:val="6E6158"/>
        </w:rPr>
        <w:t>Josh</w:t>
      </w:r>
      <w:r>
        <w:rPr>
          <w:color w:val="6E6158"/>
          <w:spacing w:val="23"/>
        </w:rPr>
        <w:t> </w:t>
      </w:r>
      <w:r>
        <w:rPr>
          <w:color w:val="6E6158"/>
        </w:rPr>
        <w:t>knew from an early age that a career in the legal profession would be a great match for his reasoning</w:t>
      </w:r>
      <w:r>
        <w:rPr>
          <w:color w:val="6E6158"/>
          <w:spacing w:val="40"/>
        </w:rPr>
        <w:t> </w:t>
      </w:r>
      <w:r>
        <w:rPr>
          <w:color w:val="6E6158"/>
        </w:rPr>
        <w:t>and analytical abilities. His grandfather, an estate planner, recommended the trusts &amp; estates sector, and the rest is history. Josh truly enjoys being a trusted counselor – and playing an</w:t>
      </w:r>
    </w:p>
    <w:p>
      <w:pPr>
        <w:pStyle w:val="BodyText"/>
        <w:spacing w:line="302" w:lineRule="auto" w:before="1"/>
        <w:ind w:left="104" w:right="398"/>
      </w:pPr>
      <w:r>
        <w:rPr>
          <w:color w:val="6E6158"/>
        </w:rPr>
        <w:t>important role in people’s lives. He finds it extremely fulfilling to serve others and form deep,</w:t>
      </w:r>
      <w:r>
        <w:rPr>
          <w:color w:val="6E6158"/>
          <w:spacing w:val="40"/>
        </w:rPr>
        <w:t> </w:t>
      </w:r>
      <w:r>
        <w:rPr>
          <w:color w:val="6E6158"/>
        </w:rPr>
        <w:t>meaningful relationships with his clients.</w:t>
      </w:r>
    </w:p>
    <w:p>
      <w:pPr>
        <w:pStyle w:val="BodyText"/>
        <w:spacing w:before="186"/>
        <w:ind w:left="104"/>
      </w:pPr>
      <w:r>
        <w:rPr>
          <w:color w:val="6E6158"/>
        </w:rPr>
        <w:t>Outside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office,</w:t>
      </w:r>
      <w:r>
        <w:rPr>
          <w:color w:val="6E6158"/>
          <w:spacing w:val="9"/>
        </w:rPr>
        <w:t> </w:t>
      </w:r>
      <w:r>
        <w:rPr>
          <w:color w:val="6E6158"/>
        </w:rPr>
        <w:t>Josh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Strava</w:t>
      </w:r>
      <w:r>
        <w:rPr>
          <w:color w:val="6E6158"/>
          <w:spacing w:val="9"/>
        </w:rPr>
        <w:t> </w:t>
      </w:r>
      <w:r>
        <w:rPr>
          <w:color w:val="6E6158"/>
        </w:rPr>
        <w:t>addicted</w:t>
      </w:r>
      <w:r>
        <w:rPr>
          <w:color w:val="6E6158"/>
          <w:spacing w:val="8"/>
        </w:rPr>
        <w:t> </w:t>
      </w:r>
      <w:r>
        <w:rPr>
          <w:color w:val="6E6158"/>
        </w:rPr>
        <w:t>mountain</w:t>
      </w:r>
      <w:r>
        <w:rPr>
          <w:color w:val="6E6158"/>
          <w:spacing w:val="8"/>
        </w:rPr>
        <w:t> </w:t>
      </w:r>
      <w:r>
        <w:rPr>
          <w:color w:val="6E6158"/>
        </w:rPr>
        <w:t>biker,</w:t>
      </w:r>
      <w:r>
        <w:rPr>
          <w:color w:val="6E6158"/>
          <w:spacing w:val="9"/>
        </w:rPr>
        <w:t> </w:t>
      </w:r>
      <w:r>
        <w:rPr>
          <w:color w:val="6E6158"/>
        </w:rPr>
        <w:t>avid</w:t>
      </w:r>
      <w:r>
        <w:rPr>
          <w:color w:val="6E6158"/>
          <w:spacing w:val="8"/>
        </w:rPr>
        <w:t> </w:t>
      </w:r>
      <w:r>
        <w:rPr>
          <w:color w:val="6E6158"/>
        </w:rPr>
        <w:t>snowboarder,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aspiring</w:t>
      </w:r>
    </w:p>
    <w:p>
      <w:pPr>
        <w:pStyle w:val="BodyText"/>
        <w:spacing w:line="292" w:lineRule="auto" w:before="52"/>
        <w:ind w:left="104" w:right="398"/>
      </w:pPr>
      <w:r>
        <w:rPr>
          <w:color w:val="6E6158"/>
        </w:rPr>
        <w:t>guitarist, devout Star Wars patron of episodes I through VI only, and rarely defeated (unofficial)</w:t>
      </w:r>
      <w:r>
        <w:rPr>
          <w:color w:val="6E6158"/>
          <w:spacing w:val="40"/>
        </w:rPr>
        <w:t> </w:t>
      </w:r>
      <w:r>
        <w:rPr>
          <w:color w:val="6E6158"/>
        </w:rPr>
        <w:t>competitive eater of sushi.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288" w:lineRule="auto" w:before="137"/>
        <w:ind w:left="356" w:right="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152635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547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O’Connor College of Law at Arizona State University, </w:t>
      </w:r>
      <w:r>
        <w:rPr>
          <w:i/>
          <w:color w:val="6E6158"/>
          <w:sz w:val="20"/>
        </w:rPr>
        <w:t>magna cum laude </w:t>
      </w:r>
      <w:r>
        <w:rPr>
          <w:color w:val="6E6158"/>
        </w:rPr>
        <w:t>and Order of the Coif</w:t>
      </w:r>
    </w:p>
    <w:p>
      <w:pPr>
        <w:pStyle w:val="BodyText"/>
        <w:spacing w:before="12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140497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2784pt;width:1.65pt;height:1.65pt;mso-position-horizontal-relative:page;mso-position-vertical-relative:paragraph;z-index:15729664" id="docshape15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6"/>
        </w:rPr>
        <w:t> </w:t>
      </w:r>
      <w:r>
        <w:rPr>
          <w:color w:val="6E6158"/>
        </w:rPr>
        <w:t>Brigham</w:t>
      </w:r>
      <w:r>
        <w:rPr>
          <w:color w:val="6E6158"/>
          <w:spacing w:val="7"/>
        </w:rPr>
        <w:t> </w:t>
      </w:r>
      <w:r>
        <w:rPr>
          <w:color w:val="6E6158"/>
        </w:rPr>
        <w:t>Young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0688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07pt;width:1.65pt;height:1.65pt;mso-position-horizontal-relative:page;mso-position-vertical-relative:paragraph;z-index:15731200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3"/>
        </w:rPr>
        <w:t> </w:t>
      </w:r>
      <w:r>
        <w:rPr>
          <w:color w:val="6E6158"/>
        </w:rPr>
        <w:t>Dean’s</w:t>
      </w:r>
      <w:r>
        <w:rPr>
          <w:color w:val="6E6158"/>
          <w:spacing w:val="14"/>
        </w:rPr>
        <w:t> </w:t>
      </w:r>
      <w:r>
        <w:rPr>
          <w:color w:val="6E6158"/>
        </w:rPr>
        <w:t>Award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Recognition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Outstanding</w:t>
      </w:r>
      <w:r>
        <w:rPr>
          <w:color w:val="6E6158"/>
          <w:spacing w:val="14"/>
        </w:rPr>
        <w:t> </w:t>
      </w:r>
      <w:r>
        <w:rPr>
          <w:color w:val="6E6158"/>
        </w:rPr>
        <w:t>Performance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ASU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spacing w:line="278" w:lineRule="auto" w:before="164"/>
        <w:ind w:left="356" w:right="398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170174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55pt;width:1.65pt;height:1.65pt;mso-position-horizontal-relative:page;mso-position-vertical-relative:paragraph;z-index:15731712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Recipient, Cali Excellence for the Future Awards (</w:t>
      </w:r>
      <w:r>
        <w:rPr>
          <w:i/>
          <w:color w:val="6E6158"/>
          <w:sz w:val="20"/>
        </w:rPr>
        <w:t>Civil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Procedure,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Decedents’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Estates,</w:t>
      </w:r>
      <w:r>
        <w:rPr>
          <w:i/>
          <w:color w:val="6E6158"/>
          <w:sz w:val="20"/>
        </w:rPr>
        <w:t> Community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Property,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Secured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Transactions,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Advanced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Planning,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Trusts)</w:t>
      </w:r>
    </w:p>
    <w:p>
      <w:pPr>
        <w:pStyle w:val="BodyText"/>
        <w:spacing w:before="14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149172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5877pt;width:1.65pt;height:1.65pt;mso-position-horizontal-relative:page;mso-position-vertical-relative:paragraph;z-index:15732224" id="docshape20" coordorigin="1675,235" coordsize="33,33" path="m1696,267l1687,267,1683,266,1676,260,1675,256,1675,247,1676,243,1683,237,1687,235,1696,235,1699,237,1706,243,1707,247,1707,251,1707,256,1706,260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Leo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Annette</w:t>
      </w:r>
      <w:r>
        <w:rPr>
          <w:color w:val="6E6158"/>
          <w:spacing w:val="10"/>
        </w:rPr>
        <w:t> </w:t>
      </w:r>
      <w:r>
        <w:rPr>
          <w:color w:val="6E6158"/>
        </w:rPr>
        <w:t>Beus</w:t>
      </w:r>
      <w:r>
        <w:rPr>
          <w:color w:val="6E6158"/>
          <w:spacing w:val="11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Scholar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O’Connor</w:t>
      </w:r>
      <w:r>
        <w:rPr>
          <w:color w:val="6E6158"/>
          <w:spacing w:val="10"/>
        </w:rPr>
        <w:t> </w:t>
      </w:r>
      <w:r>
        <w:rPr>
          <w:color w:val="6E6158"/>
        </w:rPr>
        <w:t>Honors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Fellow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5" w:lineRule="auto" w:before="147"/>
        <w:ind w:left="356" w:right="6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152716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889pt;width:1.65pt;height:1.65pt;mso-position-horizontal-relative:page;mso-position-vertical-relative:paragraph;z-index:15732736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“Tossing Baby with the Bathwater: Substantive Due Process and the Regulatory Takings Doctrine Applied to the COVID-19 Pandemic,” </w:t>
      </w:r>
      <w:r>
        <w:rPr>
          <w:i/>
          <w:color w:val="6E6158"/>
          <w:sz w:val="20"/>
        </w:rPr>
        <w:t>ASU’s Corporate and Business Law Journal</w:t>
      </w:r>
      <w:r>
        <w:rPr>
          <w:color w:val="6E6158"/>
          <w:sz w:val="19"/>
        </w:rPr>
        <w:t>, Winter 2022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152754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908pt;width:1.65pt;height:1.65pt;mso-position-horizontal-relative:page;mso-position-vertical-relative:paragraph;z-index:15733248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411120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1658pt;width:1.65pt;height:1.65pt;mso-position-horizontal-relative:page;mso-position-vertical-relative:paragraph;z-index:15733760" id="docshape2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Full-Time Missionary, The Church of Jesus Christ of Latter-day </w:t>
      </w:r>
      <w:r>
        <w:rPr>
          <w:color w:val="6E6158"/>
        </w:rPr>
        <w:t>Saints Student Fellow, Parliament of the World’s Religions</w:t>
      </w:r>
    </w:p>
    <w:p>
      <w:pPr>
        <w:pStyle w:val="BodyText"/>
        <w:spacing w:line="427" w:lineRule="auto"/>
        <w:ind w:left="356" w:right="3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58400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8439pt;width:1.65pt;height:1.65pt;mso-position-horizontal-relative:page;mso-position-vertical-relative:paragraph;z-index:15734272" id="docshape24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321933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9064pt;width:1.65pt;height:1.65pt;mso-position-horizontal-relative:page;mso-position-vertical-relative:paragraph;z-index:15734784" id="docshape25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Exhibit Interpreter, Loveland Living Planet </w:t>
      </w:r>
      <w:r>
        <w:rPr>
          <w:color w:val="6E6158"/>
        </w:rPr>
        <w:t>Aquarium Student Mentor, Timpanogos Elementary School</w:t>
      </w:r>
    </w:p>
    <w:p>
      <w:pPr>
        <w:pStyle w:val="Heading1"/>
        <w:spacing w:before="152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152690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84pt;width:1.65pt;height:1.65pt;mso-position-horizontal-relative:page;mso-position-vertical-relative:paragraph;z-index:15735296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411055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6589pt;width:1.65pt;height:1.65pt;mso-position-horizontal-relative:page;mso-position-vertical-relative:paragraph;z-index:15735808" id="docshape2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oshbethe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2025-01-06T17:10:22Z</dcterms:created>
  <dcterms:modified xsi:type="dcterms:W3CDTF">2025-01-06T17:10:22Z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