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234" w:right="232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KATHLEEN</w:t>
                              </w:r>
                              <w:r>
                                <w:rPr>
                                  <w:color w:val="FFFFFF"/>
                                  <w:spacing w:val="-25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E. CALLAWAY</w:t>
                              </w:r>
                            </w:p>
                            <w:p>
                              <w:pPr>
                                <w:spacing w:before="48"/>
                                <w:ind w:left="234" w:right="234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234" w:right="2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34" w:right="2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602.916.5432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602.916.5632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234" w:right="234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kcallaway@fennemorelaw.com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234" w:right="232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KATHLEEN</w:t>
                        </w:r>
                        <w:r>
                          <w:rPr>
                            <w:color w:val="FFFFFF"/>
                            <w:spacing w:val="-25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E. CALLAWAY</w:t>
                        </w:r>
                      </w:p>
                      <w:p>
                        <w:pPr>
                          <w:spacing w:before="48"/>
                          <w:ind w:left="234" w:right="234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234" w:right="234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234" w:right="234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602.916.5432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602.916.5632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234" w:right="234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kcallaway@fennemorelaw.com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002E6B"/>
        </w:rPr>
        <w:t>CALLAWAY,</w:t>
      </w:r>
      <w:r>
        <w:rPr>
          <w:color w:val="002E6B"/>
          <w:spacing w:val="13"/>
        </w:rPr>
        <w:t> </w:t>
      </w:r>
      <w:r>
        <w:rPr>
          <w:color w:val="002E6B"/>
        </w:rPr>
        <w:t>KATHLEEN</w:t>
      </w:r>
      <w:r>
        <w:rPr>
          <w:color w:val="002E6B"/>
          <w:spacing w:val="13"/>
        </w:rPr>
        <w:t> </w:t>
      </w:r>
      <w:r>
        <w:rPr>
          <w:color w:val="002E6B"/>
          <w:spacing w:val="-5"/>
        </w:rPr>
        <w:t>E.</w:t>
      </w:r>
    </w:p>
    <w:p>
      <w:pPr>
        <w:pStyle w:val="BodyText"/>
        <w:spacing w:line="290" w:lineRule="auto"/>
        <w:ind w:left="104" w:right="581"/>
      </w:pPr>
      <w:r>
        <w:rPr>
          <w:color w:val="6E6158"/>
        </w:rPr>
        <w:t>Katie practices in the estate planning and probate area. Prior to joining us, she worked as</w:t>
      </w:r>
      <w:r>
        <w:rPr>
          <w:color w:val="6E6158"/>
          <w:spacing w:val="40"/>
        </w:rPr>
        <w:t> </w:t>
      </w:r>
      <w:r>
        <w:rPr>
          <w:color w:val="6E6158"/>
        </w:rPr>
        <w:t>Associate Editor for </w:t>
      </w:r>
      <w:r>
        <w:rPr>
          <w:i/>
          <w:color w:val="6E6158"/>
          <w:sz w:val="20"/>
        </w:rPr>
        <w:t>Wealth Strategies Journal </w:t>
      </w:r>
      <w:r>
        <w:rPr>
          <w:color w:val="6E6158"/>
        </w:rPr>
        <w:t>where she drafted blog posts summarizing developments in tax and estate planning for the Journal’s website.</w:t>
      </w:r>
    </w:p>
    <w:p>
      <w:pPr>
        <w:pStyle w:val="BodyText"/>
        <w:spacing w:line="297" w:lineRule="auto" w:before="197"/>
        <w:ind w:left="104" w:right="581"/>
      </w:pPr>
      <w:r>
        <w:rPr>
          <w:color w:val="6E6158"/>
        </w:rPr>
        <w:t>While in law school Katie served as a legal extern in the Phoenix, Arizona Juvenile Public</w:t>
      </w:r>
      <w:r>
        <w:rPr>
          <w:color w:val="6E6158"/>
          <w:spacing w:val="40"/>
        </w:rPr>
        <w:t> </w:t>
      </w:r>
      <w:r>
        <w:rPr>
          <w:color w:val="6E6158"/>
        </w:rPr>
        <w:t>Defender’s Office and the Crime Victims Legal Assistance Project in Phoenix, Arizona. She also</w:t>
      </w:r>
      <w:r>
        <w:rPr>
          <w:color w:val="6E6158"/>
          <w:spacing w:val="40"/>
        </w:rPr>
        <w:t> </w:t>
      </w:r>
      <w:r>
        <w:rPr>
          <w:color w:val="6E6158"/>
        </w:rPr>
        <w:t>served</w:t>
      </w:r>
      <w:r>
        <w:rPr>
          <w:color w:val="6E6158"/>
          <w:spacing w:val="28"/>
        </w:rPr>
        <w:t> </w:t>
      </w:r>
      <w:r>
        <w:rPr>
          <w:color w:val="6E6158"/>
        </w:rPr>
        <w:t>as</w:t>
      </w:r>
      <w:r>
        <w:rPr>
          <w:color w:val="6E6158"/>
          <w:spacing w:val="28"/>
        </w:rPr>
        <w:t> </w:t>
      </w:r>
      <w:r>
        <w:rPr>
          <w:color w:val="6E6158"/>
        </w:rPr>
        <w:t>a</w:t>
      </w:r>
      <w:r>
        <w:rPr>
          <w:color w:val="6E6158"/>
          <w:spacing w:val="28"/>
        </w:rPr>
        <w:t> </w:t>
      </w:r>
      <w:r>
        <w:rPr>
          <w:color w:val="6E6158"/>
        </w:rPr>
        <w:t>legal</w:t>
      </w:r>
      <w:r>
        <w:rPr>
          <w:color w:val="6E6158"/>
          <w:spacing w:val="28"/>
        </w:rPr>
        <w:t> </w:t>
      </w:r>
      <w:r>
        <w:rPr>
          <w:color w:val="6E6158"/>
        </w:rPr>
        <w:t>extern</w:t>
      </w:r>
      <w:r>
        <w:rPr>
          <w:color w:val="6E6158"/>
          <w:spacing w:val="28"/>
        </w:rPr>
        <w:t> </w:t>
      </w:r>
      <w:r>
        <w:rPr>
          <w:color w:val="6E6158"/>
        </w:rPr>
        <w:t>for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Honorable</w:t>
      </w:r>
      <w:r>
        <w:rPr>
          <w:color w:val="6E6158"/>
          <w:spacing w:val="28"/>
        </w:rPr>
        <w:t> </w:t>
      </w:r>
      <w:r>
        <w:rPr>
          <w:color w:val="6E6158"/>
        </w:rPr>
        <w:t>George</w:t>
      </w:r>
      <w:r>
        <w:rPr>
          <w:color w:val="6E6158"/>
          <w:spacing w:val="28"/>
        </w:rPr>
        <w:t> </w:t>
      </w:r>
      <w:r>
        <w:rPr>
          <w:color w:val="6E6158"/>
        </w:rPr>
        <w:t>Foster,</w:t>
      </w:r>
      <w:r>
        <w:rPr>
          <w:color w:val="6E6158"/>
          <w:spacing w:val="28"/>
        </w:rPr>
        <w:t> </w:t>
      </w:r>
      <w:r>
        <w:rPr>
          <w:color w:val="6E6158"/>
        </w:rPr>
        <w:t>Maricopa</w:t>
      </w:r>
      <w:r>
        <w:rPr>
          <w:color w:val="6E6158"/>
          <w:spacing w:val="28"/>
        </w:rPr>
        <w:t> </w:t>
      </w:r>
      <w:r>
        <w:rPr>
          <w:color w:val="6E6158"/>
        </w:rPr>
        <w:t>County</w:t>
      </w:r>
      <w:r>
        <w:rPr>
          <w:color w:val="6E6158"/>
          <w:spacing w:val="28"/>
        </w:rPr>
        <w:t> </w:t>
      </w:r>
      <w:r>
        <w:rPr>
          <w:color w:val="6E6158"/>
        </w:rPr>
        <w:t>Superior</w:t>
      </w:r>
      <w:r>
        <w:rPr>
          <w:color w:val="6E6158"/>
          <w:spacing w:val="28"/>
        </w:rPr>
        <w:t> </w:t>
      </w:r>
      <w:r>
        <w:rPr>
          <w:color w:val="6E6158"/>
        </w:rPr>
        <w:t>Court.</w:t>
      </w:r>
    </w:p>
    <w:p>
      <w:pPr>
        <w:pStyle w:val="Heading1"/>
        <w:spacing w:before="158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152454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293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LL.M.,</w:t>
      </w:r>
      <w:r>
        <w:rPr>
          <w:color w:val="6E6158"/>
          <w:spacing w:val="7"/>
        </w:rPr>
        <w:t> </w:t>
      </w:r>
      <w:r>
        <w:rPr>
          <w:color w:val="6E6158"/>
        </w:rPr>
        <w:t>New</w:t>
      </w:r>
      <w:r>
        <w:rPr>
          <w:color w:val="6E6158"/>
          <w:spacing w:val="8"/>
        </w:rPr>
        <w:t> </w:t>
      </w:r>
      <w:r>
        <w:rPr>
          <w:color w:val="6E6158"/>
        </w:rPr>
        <w:t>York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427" w:lineRule="auto" w:before="174"/>
        <w:ind w:right="28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170184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0337pt;width:1.65pt;height:1.65pt;mso-position-horizontal-relative:page;mso-position-vertical-relative:paragraph;z-index:15729664" id="docshape8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433717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0963pt;width:1.65pt;height:1.65pt;mso-position-horizontal-relative:page;mso-position-vertical-relative:paragraph;z-index:15730176" id="docshape9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B.A., Arizona State University</w:t>
      </w:r>
    </w:p>
    <w:p>
      <w:pPr>
        <w:pStyle w:val="BodyText"/>
        <w:spacing w:line="420" w:lineRule="auto" w:before="0"/>
        <w:ind w:right="10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54976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28881pt;width:1.65pt;height:1.65pt;mso-position-horizontal-relative:page;mso-position-vertical-relative:paragraph;z-index:15730688" id="docshape10" coordorigin="1675,87" coordsize="33,33" path="m1696,119l1687,119,1683,118,1676,111,1675,107,1675,98,1676,95,1683,88,1687,87,1696,87,1699,88,1706,95,1707,98,1707,103,1707,107,1706,111,1699,118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313342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67263pt;width:1.65pt;height:1.65pt;mso-position-horizontal-relative:page;mso-position-vertical-relative:paragraph;z-index:15731200" id="docshape11" coordorigin="1675,493" coordsize="33,33" path="m1696,526l1687,526,1683,524,1676,518,1675,514,1675,505,1676,501,1683,495,1687,493,1696,493,1699,495,1706,501,1707,505,1707,510,1707,514,1706,518,1699,524,1696,5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Pedrick Scholar CALI Awards for highest grade in Evidence and Employment Law Homeless Legal Assistance Project, Volunteer; Study abroad (Europe-Summer </w:t>
      </w:r>
      <w:r>
        <w:rPr>
          <w:color w:val="6E6158"/>
        </w:rPr>
        <w:t>2009)</w:t>
      </w:r>
    </w:p>
    <w:p>
      <w:pPr>
        <w:pStyle w:val="Heading1"/>
        <w:spacing w:before="15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59591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92241pt;width:1.65pt;height:1.65pt;mso-position-horizontal-relative:page;mso-position-vertical-relative:paragraph;z-index:15731712" id="docshape12" coordorigin="1675,94" coordsize="33,33" path="m1696,126l1687,126,1683,125,1676,118,1675,115,1675,106,1676,102,1683,95,1687,94,1696,94,1699,95,1706,102,1707,106,1707,110,1707,115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line="420" w:lineRule="auto" w:before="174"/>
        <w:ind w:right="53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170031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88285pt;width:1.65pt;height:1.65pt;mso-position-horizontal-relative:page;mso-position-vertical-relative:paragraph;z-index:15732224" id="docshape13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428396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32033pt;width:1.65pt;height:1.65pt;mso-position-horizontal-relative:page;mso-position-vertical-relative:paragraph;z-index:15732736" id="docshape14" coordorigin="1675,675" coordsize="33,33" path="m1696,707l1687,707,1683,706,1676,699,1675,695,1675,686,1676,683,1683,676,1687,675,1696,675,1699,676,1706,683,1707,686,1707,691,1707,695,1706,699,1699,706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Private Client and Wealth </w:t>
      </w:r>
      <w:r>
        <w:rPr>
          <w:color w:val="6E6158"/>
        </w:rPr>
        <w:t>Preservation Trusts &amp; Estates</w:t>
      </w:r>
    </w:p>
    <w:p>
      <w:pPr>
        <w:pStyle w:val="BodyText"/>
        <w:spacing w:line="420" w:lineRule="auto" w:before="7"/>
        <w:ind w:right="73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63699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5691pt;width:1.65pt;height:1.65pt;mso-position-horizontal-relative:page;mso-position-vertical-relative:paragraph;z-index:15733248" id="docshape15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322064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5944pt;width:1.65pt;height:1.65pt;mso-position-horizontal-relative:page;mso-position-vertical-relative:paragraph;z-index:15733760" id="docshape16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</w:t>
      </w:r>
      <w:r>
        <w:rPr>
          <w:color w:val="6E6158"/>
        </w:rPr>
        <w:t>Litigation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8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4272" id="docshape17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Trusts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Estates,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2024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</w:t>
      </w:r>
      <w:r>
        <w:rPr>
          <w:color w:val="6E6158"/>
          <w:spacing w:val="-2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168597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536pt;width:1.65pt;height:1.65pt;mso-position-horizontal-relative:page;mso-position-vertical-relative:paragraph;z-index:15734784" id="docshape18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3"/>
          <w:sz w:val="20"/>
        </w:rPr>
        <w:t> </w:t>
      </w:r>
      <w:r>
        <w:rPr>
          <w:color w:val="6E6158"/>
          <w:sz w:val="19"/>
        </w:rPr>
        <w:t>Ones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to Watch, Trusts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and Estates,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2024</w:t>
      </w:r>
    </w:p>
    <w:p>
      <w:pPr>
        <w:spacing w:before="17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174046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4461pt;width:1.65pt;height:1.65pt;mso-position-horizontal-relative:page;mso-position-vertical-relative:paragraph;z-index:15735296" id="docshape19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&amp;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Probate,</w:t>
      </w:r>
      <w:r>
        <w:rPr>
          <w:color w:val="6E6158"/>
          <w:spacing w:val="-4"/>
          <w:sz w:val="19"/>
        </w:rPr>
        <w:t> 2021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168613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6687pt;width:1.65pt;height:1.65pt;mso-position-horizontal-relative:page;mso-position-vertical-relative:paragraph;z-index:15735808" id="docshape20" coordorigin="1675,266" coordsize="33,33" path="m1696,298l1687,298,1683,296,1676,290,1675,286,1675,277,1676,273,1683,267,1687,266,1696,266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Next-Generation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Legal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Leader,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Phoenix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Journal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2021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  <w:spacing w:before="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152941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661pt;width:1.65pt;height:1.65pt;mso-position-horizontal-relative:page;mso-position-vertical-relative:paragraph;z-index:15736320" id="docshape2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“A Conversation On Leadership &amp; Life In The Law With Katie Callaway,” </w:t>
        </w:r>
        <w:r>
          <w:rPr>
            <w:color w:val="F5821F"/>
          </w:rPr>
          <w:t>Fennemore</w:t>
        </w:r>
      </w:hyperlink>
      <w:r>
        <w:rPr>
          <w:color w:val="F5821F"/>
          <w:spacing w:val="40"/>
        </w:rPr>
        <w:t> </w:t>
      </w:r>
      <w:hyperlink r:id="rId11">
        <w:r>
          <w:rPr>
            <w:color w:val="F5821F"/>
          </w:rPr>
          <w:t>Blog, March 3, 2022</w:t>
        </w:r>
      </w:hyperlink>
    </w:p>
    <w:p>
      <w:pPr>
        <w:pStyle w:val="BodyText"/>
        <w:spacing w:line="292" w:lineRule="auto" w:before="132"/>
        <w:ind w:right="3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143046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351pt;width:1.65pt;height:1.65pt;mso-position-horizontal-relative:page;mso-position-vertical-relative:paragraph;z-index:15736832" id="docshape2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“Digital Assets,” The Arizona Fiduciaries Association 2018 Spring Conference, April </w:t>
      </w:r>
      <w:r>
        <w:rPr>
          <w:color w:val="6E6158"/>
        </w:rPr>
        <w:t>20, </w:t>
      </w:r>
      <w:r>
        <w:rPr>
          <w:color w:val="6E6158"/>
          <w:spacing w:val="-4"/>
        </w:rPr>
        <w:t>2018</w:t>
      </w:r>
    </w:p>
    <w:p>
      <w:pPr>
        <w:pStyle w:val="Heading1"/>
        <w:spacing w:before="28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152696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341pt;width:1.65pt;height:1.65pt;mso-position-horizontal-relative:page;mso-position-vertical-relative:paragraph;z-index:15737344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4"/>
        </w:rPr>
        <w:t> </w:t>
      </w:r>
      <w:r>
        <w:rPr>
          <w:color w:val="6E6158"/>
        </w:rPr>
        <w:t>State</w:t>
      </w:r>
      <w:r>
        <w:rPr>
          <w:color w:val="6E6158"/>
          <w:spacing w:val="5"/>
        </w:rPr>
        <w:t> </w:t>
      </w:r>
      <w:r>
        <w:rPr>
          <w:color w:val="6E6158"/>
        </w:rPr>
        <w:t>Bar</w:t>
      </w:r>
      <w:r>
        <w:rPr>
          <w:color w:val="6E6158"/>
          <w:spacing w:val="5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line="420" w:lineRule="auto" w:before="182"/>
        <w:ind w:right="43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174958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626pt;width:1.65pt;height:1.65pt;mso-position-horizontal-relative:page;mso-position-vertical-relative:paragraph;z-index:15737856" id="docshape24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433324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001pt;width:1.65pt;height:1.65pt;mso-position-horizontal-relative:page;mso-position-vertical-relative:paragraph;z-index:15738368" id="docshape2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Back to School Clothing Drive Member,</w:t>
      </w:r>
      <w:r>
        <w:rPr>
          <w:color w:val="6E6158"/>
          <w:spacing w:val="7"/>
        </w:rPr>
        <w:t> </w:t>
      </w:r>
      <w:r>
        <w:rPr>
          <w:color w:val="6E6158"/>
        </w:rPr>
        <w:t>Board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Trustees,</w:t>
      </w:r>
      <w:r>
        <w:rPr>
          <w:color w:val="6E6158"/>
          <w:spacing w:val="7"/>
        </w:rPr>
        <w:t> </w:t>
      </w:r>
      <w:r>
        <w:rPr>
          <w:color w:val="6E6158"/>
        </w:rPr>
        <w:t>Phoenix</w:t>
      </w:r>
      <w:r>
        <w:rPr>
          <w:color w:val="6E6158"/>
          <w:spacing w:val="8"/>
        </w:rPr>
        <w:t> </w:t>
      </w:r>
      <w:r>
        <w:rPr>
          <w:color w:val="6E6158"/>
        </w:rPr>
        <w:t>Boys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Choir</w:t>
      </w: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152941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2649pt;width:1.65pt;height:1.65pt;mso-position-horizontal-relative:page;mso-position-vertical-relative:paragraph;z-index:15738880" id="docshape26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9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kcallaway@fennemorelaw.com" TargetMode="External"/><Relationship Id="rId11" Type="http://schemas.openxmlformats.org/officeDocument/2006/relationships/hyperlink" Target="https://www.fennemorelaw.com/i-truly-enjoy-helping-each-of-my-clients-create-an-estate-plan-that-adequately-addresses-all-the-unique-issues-each-one-is-facin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2025-01-06T17:10:53Z</dcterms:created>
  <dcterms:modified xsi:type="dcterms:W3CDTF">2025-01-06T17:10:53Z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