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999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99990"/>
                          <a:chExt cx="6066790" cy="4999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60027" y="763308"/>
                            <a:ext cx="159258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KENDRA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G.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GLAZER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Director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Recruiting</w:t>
                              </w:r>
                            </w:p>
                            <w:p>
                              <w:pPr>
                                <w:spacing w:before="29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Kendra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G.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Glazer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602.916.5050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31239" y="2763906"/>
                            <a:ext cx="14497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kglazer@fennemorelaw.com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8545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541635" y="4019563"/>
                            <a:ext cx="299974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624" w:val="left" w:leader="dot"/>
                                </w:tabs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"Your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time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limited,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so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don't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waste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living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someone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else's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life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”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Ruth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Bader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Ginsburg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811978"/>
                            <a:ext cx="143891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KENDRA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G.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GLAZER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8545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3.7pt;mso-position-horizontal-relative:page;mso-position-vertical-relative:page;z-index:15728640" id="docshapegroup1" coordorigin="1341,560" coordsize="9554,7874">
                <v:rect style="position:absolute;left:1341;top:5955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62;top:1762;width:2508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KENDRA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G.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GLAZER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Director</w:t>
                        </w:r>
                        <w:r>
                          <w:rPr>
                            <w:color w:val="FFFFFF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Recruiting</w:t>
                        </w:r>
                      </w:p>
                      <w:p>
                        <w:pPr>
                          <w:spacing w:before="29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Kendra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G.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Glazer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602.916.5050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</w:txbxContent>
                  </v:textbox>
                  <w10:wrap type="none"/>
                </v:shape>
                <v:shape style="position:absolute;left:7374;top:4912;width:2283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kglazer@fennemorelaw.com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630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768;top:6890;width:4724;height:485" type="#_x0000_t202" id="docshape11" filled="false" stroked="false">
                  <v:textbox inset="0,0,0,0">
                    <w:txbxContent>
                      <w:p>
                        <w:pPr>
                          <w:tabs>
                            <w:tab w:pos="4624" w:val="left" w:leader="dot"/>
                          </w:tabs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"Your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time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limited,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so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don't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waste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living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someone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else's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life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z w:val="16"/>
                          </w:rPr>
                          <w:tab/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”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Ruth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Bader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Ginsburg</w:t>
                        </w:r>
                      </w:p>
                    </w:txbxContent>
                  </v:textbox>
                  <w10:wrap type="none"/>
                </v:shape>
                <v:shape style="position:absolute;left:1544;top:8137;width:2266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KENDRA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G.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GLAZER</w:t>
                        </w:r>
                      </w:p>
                    </w:txbxContent>
                  </v:textbox>
                  <w10:wrap type="none"/>
                </v:shape>
                <v:shape style="position:absolute;left:8986;top:6630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4"/>
        <w:rPr>
          <w:rFonts w:ascii="Times New Roman"/>
        </w:rPr>
      </w:pPr>
    </w:p>
    <w:p>
      <w:pPr>
        <w:pStyle w:val="BodyText"/>
        <w:spacing w:line="302" w:lineRule="auto"/>
        <w:ind w:left="104" w:right="399"/>
      </w:pPr>
      <w:r>
        <w:rPr>
          <w:color w:val="6E6158"/>
        </w:rPr>
        <w:t>Kendra G. Glazer is the Director of Recruiting who leads the firm’s legal recruiting efforts across</w:t>
      </w:r>
      <w:r>
        <w:rPr>
          <w:color w:val="6E6158"/>
          <w:spacing w:val="40"/>
        </w:rPr>
        <w:t> </w:t>
      </w:r>
      <w:r>
        <w:rPr>
          <w:color w:val="6E6158"/>
        </w:rPr>
        <w:t>all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our</w:t>
      </w:r>
      <w:r>
        <w:rPr>
          <w:color w:val="6E6158"/>
          <w:spacing w:val="29"/>
        </w:rPr>
        <w:t> </w:t>
      </w:r>
      <w:r>
        <w:rPr>
          <w:color w:val="6E6158"/>
        </w:rPr>
        <w:t>offices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new</w:t>
      </w:r>
      <w:r>
        <w:rPr>
          <w:color w:val="6E6158"/>
          <w:spacing w:val="29"/>
        </w:rPr>
        <w:t> </w:t>
      </w:r>
      <w:r>
        <w:rPr>
          <w:color w:val="6E6158"/>
        </w:rPr>
        <w:t>associates,</w:t>
      </w:r>
      <w:r>
        <w:rPr>
          <w:color w:val="6E6158"/>
          <w:spacing w:val="29"/>
        </w:rPr>
        <w:t> </w:t>
      </w:r>
      <w:r>
        <w:rPr>
          <w:color w:val="6E6158"/>
        </w:rPr>
        <w:t>lateral</w:t>
      </w:r>
      <w:r>
        <w:rPr>
          <w:color w:val="6E6158"/>
          <w:spacing w:val="29"/>
        </w:rPr>
        <w:t> </w:t>
      </w:r>
      <w:r>
        <w:rPr>
          <w:color w:val="6E6158"/>
        </w:rPr>
        <w:t>associates,</w:t>
      </w:r>
      <w:r>
        <w:rPr>
          <w:color w:val="6E6158"/>
          <w:spacing w:val="29"/>
        </w:rPr>
        <w:t> </w:t>
      </w:r>
      <w:r>
        <w:rPr>
          <w:color w:val="6E6158"/>
        </w:rPr>
        <w:t>summer</w:t>
      </w:r>
      <w:r>
        <w:rPr>
          <w:color w:val="6E6158"/>
          <w:spacing w:val="29"/>
        </w:rPr>
        <w:t> </w:t>
      </w:r>
      <w:r>
        <w:rPr>
          <w:color w:val="6E6158"/>
        </w:rPr>
        <w:t>associates,</w:t>
      </w:r>
      <w:r>
        <w:rPr>
          <w:color w:val="6E6158"/>
          <w:spacing w:val="29"/>
        </w:rPr>
        <w:t> </w:t>
      </w:r>
      <w:r>
        <w:rPr>
          <w:color w:val="6E6158"/>
        </w:rPr>
        <w:t>law</w:t>
      </w:r>
      <w:r>
        <w:rPr>
          <w:color w:val="6E6158"/>
          <w:spacing w:val="29"/>
        </w:rPr>
        <w:t> </w:t>
      </w:r>
      <w:r>
        <w:rPr>
          <w:color w:val="6E6158"/>
        </w:rPr>
        <w:t>clerks,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contract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attorneys.</w:t>
      </w:r>
    </w:p>
    <w:p>
      <w:pPr>
        <w:pStyle w:val="BodyText"/>
        <w:spacing w:before="14"/>
      </w:pPr>
    </w:p>
    <w:p>
      <w:pPr>
        <w:pStyle w:val="BodyText"/>
        <w:spacing w:line="295" w:lineRule="auto"/>
        <w:ind w:left="104" w:right="206"/>
      </w:pPr>
      <w:r>
        <w:rPr>
          <w:color w:val="6E6158"/>
        </w:rPr>
        <w:t>As a first-generation lawyer, Kendra practiced law first in New York City and then in New Orleans, while also gaining experience in the political arena. Her experience in law school and as a</w:t>
      </w:r>
      <w:r>
        <w:rPr>
          <w:color w:val="6E6158"/>
          <w:spacing w:val="40"/>
        </w:rPr>
        <w:t> </w:t>
      </w:r>
      <w:r>
        <w:rPr>
          <w:color w:val="6E6158"/>
        </w:rPr>
        <w:t>practicing</w:t>
      </w:r>
      <w:r>
        <w:rPr>
          <w:color w:val="6E6158"/>
          <w:spacing w:val="38"/>
        </w:rPr>
        <w:t> </w:t>
      </w:r>
      <w:r>
        <w:rPr>
          <w:color w:val="6E6158"/>
        </w:rPr>
        <w:t>attorney</w:t>
      </w:r>
      <w:r>
        <w:rPr>
          <w:color w:val="6E6158"/>
          <w:spacing w:val="38"/>
        </w:rPr>
        <w:t> </w:t>
      </w:r>
      <w:r>
        <w:rPr>
          <w:color w:val="6E6158"/>
        </w:rPr>
        <w:t>revealed</w:t>
      </w:r>
      <w:r>
        <w:rPr>
          <w:color w:val="6E6158"/>
          <w:spacing w:val="38"/>
        </w:rPr>
        <w:t> </w:t>
      </w:r>
      <w:r>
        <w:rPr>
          <w:color w:val="6E6158"/>
        </w:rPr>
        <w:t>the</w:t>
      </w:r>
      <w:r>
        <w:rPr>
          <w:color w:val="6E6158"/>
          <w:spacing w:val="38"/>
        </w:rPr>
        <w:t> </w:t>
      </w:r>
      <w:r>
        <w:rPr>
          <w:color w:val="6E6158"/>
        </w:rPr>
        <w:t>distinct</w:t>
      </w:r>
      <w:r>
        <w:rPr>
          <w:color w:val="6E6158"/>
          <w:spacing w:val="38"/>
        </w:rPr>
        <w:t> </w:t>
      </w:r>
      <w:r>
        <w:rPr>
          <w:color w:val="6E6158"/>
        </w:rPr>
        <w:t>advantages</w:t>
      </w:r>
      <w:r>
        <w:rPr>
          <w:color w:val="6E6158"/>
          <w:spacing w:val="38"/>
        </w:rPr>
        <w:t> </w:t>
      </w:r>
      <w:r>
        <w:rPr>
          <w:color w:val="6E6158"/>
        </w:rPr>
        <w:t>enjoyed</w:t>
      </w:r>
      <w:r>
        <w:rPr>
          <w:color w:val="6E6158"/>
          <w:spacing w:val="38"/>
        </w:rPr>
        <w:t> </w:t>
      </w:r>
      <w:r>
        <w:rPr>
          <w:color w:val="6E6158"/>
        </w:rPr>
        <w:t>by</w:t>
      </w:r>
      <w:r>
        <w:rPr>
          <w:color w:val="6E6158"/>
          <w:spacing w:val="38"/>
        </w:rPr>
        <w:t> </w:t>
      </w:r>
      <w:r>
        <w:rPr>
          <w:color w:val="6E6158"/>
        </w:rPr>
        <w:t>some</w:t>
      </w:r>
      <w:r>
        <w:rPr>
          <w:color w:val="6E6158"/>
          <w:spacing w:val="38"/>
        </w:rPr>
        <w:t> </w:t>
      </w:r>
      <w:r>
        <w:rPr>
          <w:color w:val="6E6158"/>
        </w:rPr>
        <w:t>individuals</w:t>
      </w:r>
      <w:r>
        <w:rPr>
          <w:color w:val="6E6158"/>
          <w:spacing w:val="38"/>
        </w:rPr>
        <w:t> </w:t>
      </w:r>
      <w:r>
        <w:rPr>
          <w:color w:val="6E6158"/>
        </w:rPr>
        <w:t>when entering into the practice of law, and led to a pivot in her career towards legal recruiting. After</w:t>
      </w:r>
      <w:r>
        <w:rPr>
          <w:color w:val="6E6158"/>
          <w:spacing w:val="40"/>
        </w:rPr>
        <w:t> </w:t>
      </w:r>
      <w:r>
        <w:rPr>
          <w:color w:val="6E6158"/>
        </w:rPr>
        <w:t>five</w:t>
      </w:r>
      <w:r>
        <w:rPr>
          <w:color w:val="6E6158"/>
          <w:spacing w:val="24"/>
        </w:rPr>
        <w:t> </w:t>
      </w:r>
      <w:r>
        <w:rPr>
          <w:color w:val="6E6158"/>
        </w:rPr>
        <w:t>years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Career</w:t>
      </w:r>
      <w:r>
        <w:rPr>
          <w:color w:val="6E6158"/>
          <w:spacing w:val="24"/>
        </w:rPr>
        <w:t> </w:t>
      </w:r>
      <w:r>
        <w:rPr>
          <w:color w:val="6E6158"/>
        </w:rPr>
        <w:t>Development</w:t>
      </w:r>
      <w:r>
        <w:rPr>
          <w:color w:val="6E6158"/>
          <w:spacing w:val="24"/>
        </w:rPr>
        <w:t> </w:t>
      </w:r>
      <w:r>
        <w:rPr>
          <w:color w:val="6E6158"/>
        </w:rPr>
        <w:t>at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law</w:t>
      </w:r>
      <w:r>
        <w:rPr>
          <w:color w:val="6E6158"/>
          <w:spacing w:val="24"/>
        </w:rPr>
        <w:t> </w:t>
      </w:r>
      <w:r>
        <w:rPr>
          <w:color w:val="6E6158"/>
        </w:rPr>
        <w:t>school,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2018</w:t>
      </w:r>
      <w:r>
        <w:rPr>
          <w:color w:val="6E6158"/>
          <w:spacing w:val="24"/>
        </w:rPr>
        <w:t> </w:t>
      </w:r>
      <w:r>
        <w:rPr>
          <w:color w:val="6E6158"/>
        </w:rPr>
        <w:t>Kendra</w:t>
      </w:r>
      <w:r>
        <w:rPr>
          <w:color w:val="6E6158"/>
          <w:spacing w:val="24"/>
        </w:rPr>
        <w:t> </w:t>
      </w:r>
      <w:r>
        <w:rPr>
          <w:color w:val="6E6158"/>
        </w:rPr>
        <w:t>decided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return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private</w:t>
      </w:r>
    </w:p>
    <w:p>
      <w:pPr>
        <w:pStyle w:val="BodyText"/>
        <w:spacing w:line="232" w:lineRule="exact"/>
        <w:ind w:left="104"/>
      </w:pPr>
      <w:r>
        <w:rPr>
          <w:color w:val="6E6158"/>
        </w:rPr>
        <w:t>practice,</w:t>
      </w:r>
      <w:r>
        <w:rPr>
          <w:color w:val="6E6158"/>
          <w:spacing w:val="8"/>
        </w:rPr>
        <w:t> </w:t>
      </w:r>
      <w:r>
        <w:rPr>
          <w:color w:val="6E6158"/>
        </w:rPr>
        <w:t>but</w:t>
      </w:r>
      <w:r>
        <w:rPr>
          <w:color w:val="6E6158"/>
          <w:spacing w:val="9"/>
        </w:rPr>
        <w:t> </w:t>
      </w:r>
      <w:r>
        <w:rPr>
          <w:color w:val="6E6158"/>
        </w:rPr>
        <w:t>this</w:t>
      </w:r>
      <w:r>
        <w:rPr>
          <w:color w:val="6E6158"/>
          <w:spacing w:val="8"/>
        </w:rPr>
        <w:t> </w:t>
      </w:r>
      <w:r>
        <w:rPr>
          <w:color w:val="6E6158"/>
        </w:rPr>
        <w:t>time</w:t>
      </w:r>
      <w:r>
        <w:rPr>
          <w:color w:val="6E6158"/>
          <w:spacing w:val="9"/>
        </w:rPr>
        <w:t> </w:t>
      </w:r>
      <w:r>
        <w:rPr>
          <w:color w:val="6E6158"/>
        </w:rPr>
        <w:t>as</w:t>
      </w:r>
      <w:r>
        <w:rPr>
          <w:color w:val="6E6158"/>
          <w:spacing w:val="8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legal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recruiter.</w:t>
      </w:r>
    </w:p>
    <w:p>
      <w:pPr>
        <w:pStyle w:val="BodyText"/>
        <w:spacing w:before="22"/>
      </w:pPr>
    </w:p>
    <w:p>
      <w:pPr>
        <w:pStyle w:val="BodyText"/>
        <w:spacing w:line="295" w:lineRule="auto" w:before="1"/>
        <w:ind w:left="104"/>
      </w:pPr>
      <w:r>
        <w:rPr>
          <w:color w:val="6E6158"/>
        </w:rPr>
        <w:t>Since that time, Kendra has focused on the recruitment and development of law students and</w:t>
      </w:r>
      <w:r>
        <w:rPr>
          <w:color w:val="6E6158"/>
          <w:spacing w:val="40"/>
        </w:rPr>
        <w:t> </w:t>
      </w:r>
      <w:r>
        <w:rPr>
          <w:color w:val="6E6158"/>
        </w:rPr>
        <w:t>attorneys,</w:t>
      </w:r>
      <w:r>
        <w:rPr>
          <w:color w:val="6E6158"/>
          <w:spacing w:val="80"/>
        </w:rPr>
        <w:t> </w:t>
      </w:r>
      <w:r>
        <w:rPr>
          <w:color w:val="6E6158"/>
        </w:rPr>
        <w:t>and is now an advocate for mentoring and empowering attorneys with the tools </w:t>
      </w:r>
      <w:r>
        <w:rPr>
          <w:color w:val="6E6158"/>
        </w:rPr>
        <w:t>they need to succeed – with a passion for Diversity, Equity and Inclusion efforts in the law. Kendra has</w:t>
      </w:r>
      <w:r>
        <w:rPr>
          <w:color w:val="6E6158"/>
          <w:spacing w:val="40"/>
        </w:rPr>
        <w:t> </w:t>
      </w:r>
      <w:r>
        <w:rPr>
          <w:color w:val="6E6158"/>
        </w:rPr>
        <w:t>experience in researching, developing and coordinating a broad range of diversity initiatives,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35"/>
        </w:rPr>
        <w:t> </w:t>
      </w:r>
      <w:r>
        <w:rPr>
          <w:color w:val="6E6158"/>
        </w:rPr>
        <w:t>a</w:t>
      </w:r>
      <w:r>
        <w:rPr>
          <w:color w:val="6E6158"/>
          <w:spacing w:val="35"/>
        </w:rPr>
        <w:t> </w:t>
      </w:r>
      <w:r>
        <w:rPr>
          <w:color w:val="6E6158"/>
        </w:rPr>
        <w:t>minority</w:t>
      </w:r>
      <w:r>
        <w:rPr>
          <w:color w:val="6E6158"/>
          <w:spacing w:val="35"/>
        </w:rPr>
        <w:t> </w:t>
      </w:r>
      <w:r>
        <w:rPr>
          <w:color w:val="6E6158"/>
        </w:rPr>
        <w:t>fellowship</w:t>
      </w:r>
      <w:r>
        <w:rPr>
          <w:color w:val="6E6158"/>
          <w:spacing w:val="35"/>
        </w:rPr>
        <w:t> </w:t>
      </w:r>
      <w:r>
        <w:rPr>
          <w:color w:val="6E6158"/>
        </w:rPr>
        <w:t>program,</w:t>
      </w:r>
      <w:r>
        <w:rPr>
          <w:color w:val="6E6158"/>
          <w:spacing w:val="35"/>
        </w:rPr>
        <w:t> </w:t>
      </w:r>
      <w:r>
        <w:rPr>
          <w:color w:val="6E6158"/>
        </w:rPr>
        <w:t>a</w:t>
      </w:r>
      <w:r>
        <w:rPr>
          <w:color w:val="6E6158"/>
          <w:spacing w:val="35"/>
        </w:rPr>
        <w:t> </w:t>
      </w:r>
      <w:r>
        <w:rPr>
          <w:color w:val="6E6158"/>
        </w:rPr>
        <w:t>diversity</w:t>
      </w:r>
      <w:r>
        <w:rPr>
          <w:color w:val="6E6158"/>
          <w:spacing w:val="35"/>
        </w:rPr>
        <w:t> </w:t>
      </w:r>
      <w:r>
        <w:rPr>
          <w:color w:val="6E6158"/>
        </w:rPr>
        <w:t>pipeline</w:t>
      </w:r>
      <w:r>
        <w:rPr>
          <w:color w:val="6E6158"/>
          <w:spacing w:val="35"/>
        </w:rPr>
        <w:t> </w:t>
      </w:r>
      <w:r>
        <w:rPr>
          <w:color w:val="6E6158"/>
        </w:rPr>
        <w:t>initiative,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numerous</w:t>
      </w:r>
      <w:r>
        <w:rPr>
          <w:color w:val="6E6158"/>
          <w:spacing w:val="35"/>
        </w:rPr>
        <w:t> </w:t>
      </w:r>
      <w:r>
        <w:rPr>
          <w:color w:val="6E6158"/>
        </w:rPr>
        <w:t>diversity</w:t>
      </w:r>
    </w:p>
    <w:p>
      <w:pPr>
        <w:pStyle w:val="BodyText"/>
        <w:spacing w:line="292" w:lineRule="auto"/>
        <w:ind w:left="104" w:right="139"/>
      </w:pPr>
      <w:r>
        <w:rPr>
          <w:color w:val="6E6158"/>
        </w:rPr>
        <w:t>scholarships. Her goal is to ensure that each attorney is successful and happy – growing each</w:t>
      </w:r>
      <w:r>
        <w:rPr>
          <w:color w:val="6E6158"/>
          <w:spacing w:val="40"/>
        </w:rPr>
        <w:t> </w:t>
      </w:r>
      <w:r>
        <w:rPr>
          <w:color w:val="6E6158"/>
        </w:rPr>
        <w:t>person’s career with a unique plan focused on what’s important to them.</w:t>
      </w:r>
    </w:p>
    <w:p>
      <w:pPr>
        <w:pStyle w:val="BodyText"/>
        <w:spacing w:line="292" w:lineRule="auto" w:before="204"/>
        <w:ind w:left="104" w:right="399"/>
        <w:jc w:val="both"/>
      </w:pPr>
      <w:r>
        <w:rPr>
          <w:color w:val="6E6158"/>
        </w:rPr>
        <w:t>Outside of work, Kendra describes her life as “The Brady Bunch” – a joyous life with her partner and a blended family of four children, and their beloved dog. Kendra loves hiking, and travel, especially to places where long walks on the beach are part of the daily routine.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29152" id="docshape1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4"/>
        </w:rPr>
        <w:t> </w:t>
      </w:r>
      <w:r>
        <w:rPr>
          <w:color w:val="6E6158"/>
        </w:rPr>
        <w:t>Southern</w:t>
      </w:r>
      <w:r>
        <w:rPr>
          <w:color w:val="6E6158"/>
          <w:spacing w:val="15"/>
        </w:rPr>
        <w:t> </w:t>
      </w:r>
      <w:r>
        <w:rPr>
          <w:color w:val="6E6158"/>
        </w:rPr>
        <w:t>Methodist</w:t>
      </w:r>
      <w:r>
        <w:rPr>
          <w:color w:val="6E6158"/>
          <w:spacing w:val="15"/>
        </w:rPr>
        <w:t> </w:t>
      </w:r>
      <w:r>
        <w:rPr>
          <w:color w:val="6E6158"/>
        </w:rPr>
        <w:t>University,</w:t>
      </w:r>
      <w:r>
        <w:rPr>
          <w:color w:val="6E6158"/>
          <w:spacing w:val="15"/>
        </w:rPr>
        <w:t> </w:t>
      </w:r>
      <w:r>
        <w:rPr>
          <w:color w:val="6E6158"/>
        </w:rPr>
        <w:t>Dedman</w:t>
      </w:r>
      <w:r>
        <w:rPr>
          <w:color w:val="6E6158"/>
          <w:spacing w:val="15"/>
        </w:rPr>
        <w:t> </w:t>
      </w:r>
      <w:r>
        <w:rPr>
          <w:color w:val="6E6158"/>
        </w:rPr>
        <w:t>School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  <w:spacing w:val="-5"/>
        </w:rPr>
        <w:t>Law</w:t>
      </w:r>
    </w:p>
    <w:p>
      <w:pPr>
        <w:spacing w:line="285" w:lineRule="auto" w:before="164"/>
        <w:ind w:left="356" w:right="399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79pt;width:1.65pt;height:1.65pt;mso-position-horizontal-relative:page;mso-position-vertical-relative:paragraph;z-index:15729664" id="docshape15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Wisconsin-Madison,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z w:val="20"/>
        </w:rPr>
        <w:t>Bachelor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Arts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Political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Science,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Certificate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z w:val="20"/>
        </w:rPr>
        <w:t> Environmental Studies, Concentration in African Studies.</w:t>
      </w:r>
    </w:p>
    <w:p>
      <w:pPr>
        <w:pStyle w:val="Heading1"/>
        <w:spacing w:before="288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left="356"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152472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719pt;width:1.65pt;height:1.65pt;mso-position-horizontal-relative:page;mso-position-vertical-relative:paragraph;z-index:15730176" id="docshape1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Featuring, “A Conversation On Life In The Legal Profession With Kendra Glazer,” </w:t>
        </w:r>
        <w:r>
          <w:rPr>
            <w:color w:val="F5821F"/>
          </w:rPr>
          <w:t>Fennemore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Blog, August 10, 2023</w:t>
        </w:r>
      </w:hyperlink>
    </w:p>
    <w:p>
      <w:pPr>
        <w:spacing w:line="295" w:lineRule="auto" w:before="11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138045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9692pt;width:1.65pt;height:1.65pt;mso-position-horizontal-relative:page;mso-position-vertical-relative:paragraph;z-index:15730688" id="docshape17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Navigating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Unwritten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Rules: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Helping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Students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New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Succeed,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National Association for Law Placement (NALP) 2022 Annual Education Conference, April 6, 2022, </w:t>
      </w:r>
      <w:r>
        <w:rPr>
          <w:color w:val="6E6158"/>
          <w:sz w:val="19"/>
        </w:rPr>
        <w:t>New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Orleans, Louisiana, Co-Presenter</w:t>
      </w:r>
    </w:p>
    <w:p>
      <w:pPr>
        <w:pStyle w:val="BodyText"/>
        <w:spacing w:line="288" w:lineRule="auto" w:before="110"/>
        <w:ind w:left="356" w:right="1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135477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67498pt;width:1.65pt;height:1.65pt;mso-position-horizontal-relative:page;mso-position-vertical-relative:paragraph;z-index:15731200" id="docshape18" coordorigin="1675,213" coordsize="33,33" path="m1696,246l1687,246,1683,244,1676,238,1675,234,1675,225,1676,221,1683,215,1687,213,1696,213,1699,215,1706,221,1707,225,1707,230,1707,234,1706,238,1699,244,1696,2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Louisiana Bar Journal</w:t>
      </w:r>
      <w:r>
        <w:rPr>
          <w:color w:val="6E6158"/>
        </w:rPr>
        <w:t>, Recent Developments, Bankruptcy Law section (Vol. 57, No. 5; Vol. 58, No. 1; Vol.58, No. 3; Vol. 58; No. 5; Vol. 59, No. 1; Vol. 59, No. 3)</w:t>
      </w:r>
    </w:p>
    <w:p>
      <w:pPr>
        <w:pStyle w:val="BodyText"/>
        <w:spacing w:before="2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152420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577pt;width:1.65pt;height:1.65pt;mso-position-horizontal-relative:page;mso-position-vertical-relative:paragraph;z-index:15731712" id="docshape1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Louisiana</w:t>
      </w:r>
    </w:p>
    <w:p>
      <w:pPr>
        <w:pStyle w:val="BodyText"/>
        <w:spacing w:line="422" w:lineRule="auto" w:before="174"/>
        <w:ind w:left="356" w:right="36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170149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7621pt;width:1.65pt;height:1.65pt;mso-position-horizontal-relative:page;mso-position-vertical-relative:paragraph;z-index:15732224" id="docshape20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428515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41371pt;width:1.65pt;height:1.65pt;mso-position-horizontal-relative:page;mso-position-vertical-relative:paragraph;z-index:15732736" id="docshape21" coordorigin="1675,675" coordsize="33,33" path="m1696,707l1687,707,1683,706,1676,699,1675,696,1675,687,1676,683,1683,676,1687,675,1696,675,1699,676,1706,683,1707,687,1707,691,1707,696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692048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91997pt;width:1.65pt;height:1.65pt;mso-position-horizontal-relative:page;mso-position-vertical-relative:paragraph;z-index:15733248" id="docshape22" coordorigin="1675,1090" coordsize="33,33" path="m1696,1122l1687,1122,1683,1121,1676,1114,1675,1111,1675,1102,1676,1098,1683,1091,1687,1090,1696,1090,1699,1091,1706,1098,1707,1102,1707,1106,1707,1111,1706,1114,1699,1121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950413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4.835747pt;width:1.65pt;height:1.65pt;mso-position-horizontal-relative:page;mso-position-vertical-relative:paragraph;z-index:15733760" id="docshape23" coordorigin="1675,1497" coordsize="33,33" path="m1696,1529l1687,1529,1683,1528,1676,1521,1675,1517,1675,1508,1676,1505,1683,1498,1687,1497,1696,1497,1699,1498,1706,1505,1707,1508,1707,1513,1707,1517,1706,1521,1699,1528,1696,15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Unites</w:t>
      </w:r>
      <w:r>
        <w:rPr>
          <w:color w:val="6E6158"/>
          <w:spacing w:val="34"/>
        </w:rPr>
        <w:t> </w:t>
      </w:r>
      <w:r>
        <w:rPr>
          <w:color w:val="6E6158"/>
        </w:rPr>
        <w:t>States</w:t>
      </w:r>
      <w:r>
        <w:rPr>
          <w:color w:val="6E6158"/>
          <w:spacing w:val="34"/>
        </w:rPr>
        <w:t> </w:t>
      </w:r>
      <w:r>
        <w:rPr>
          <w:color w:val="6E6158"/>
        </w:rPr>
        <w:t>Court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Appeals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Fifth</w:t>
      </w:r>
      <w:r>
        <w:rPr>
          <w:color w:val="6E6158"/>
          <w:spacing w:val="34"/>
        </w:rPr>
        <w:t> </w:t>
      </w:r>
      <w:r>
        <w:rPr>
          <w:color w:val="6E6158"/>
        </w:rPr>
        <w:t>Circuit United States District Court, Eastern District of Louisiana United States District Court, Middle District of Louisiana United</w:t>
      </w:r>
      <w:r>
        <w:rPr>
          <w:color w:val="6E6158"/>
          <w:spacing w:val="11"/>
        </w:rPr>
        <w:t> </w:t>
      </w:r>
      <w:r>
        <w:rPr>
          <w:color w:val="6E6158"/>
        </w:rPr>
        <w:t>States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Western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Louisiana</w:t>
      </w:r>
    </w:p>
    <w:p>
      <w:pPr>
        <w:pStyle w:val="BodyText"/>
        <w:spacing w:line="420" w:lineRule="auto"/>
        <w:ind w:left="356" w:right="1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56891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479650pt;width:1.65pt;height:1.65pt;mso-position-horizontal-relative:page;mso-position-vertical-relative:paragraph;z-index:15734272" id="docshape24" coordorigin="1675,90" coordsize="33,33" path="m1696,122l1687,122,1683,121,1676,114,1675,110,1675,101,1676,98,1683,91,1687,90,1696,90,1699,91,1706,98,1707,101,1707,106,1707,110,1706,114,1699,121,1696,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315257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823399pt;width:1.65pt;height:1.65pt;mso-position-horizontal-relative:page;mso-position-vertical-relative:paragraph;z-index:15734784" id="docshape25" coordorigin="1675,496" coordsize="33,33" path="m1696,529l1687,529,1683,527,1676,521,1675,517,1675,508,1676,504,1683,498,1687,496,1696,496,1699,498,1706,504,1707,508,1707,513,1707,517,1706,521,1699,527,1696,5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State of New York Supreme Court, Appellate Division, Third Judicial </w:t>
      </w:r>
      <w:r>
        <w:rPr>
          <w:color w:val="6E6158"/>
        </w:rPr>
        <w:t>Department United States District Court, Southern District of New York</w:t>
      </w:r>
    </w:p>
    <w:p>
      <w:pPr>
        <w:pStyle w:val="BodyText"/>
        <w:spacing w:before="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61049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07055pt;width:1.65pt;height:1.65pt;mso-position-horizontal-relative:page;mso-position-vertical-relative:paragraph;z-index:15735296" id="docshape26" coordorigin="1675,96" coordsize="33,33" path="m1696,129l1687,129,1683,127,1676,121,1675,117,1675,108,1676,104,1683,98,1687,96,1696,96,1699,98,1706,104,1707,108,1707,112,1707,117,1706,121,1699,127,1696,1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1"/>
        </w:rPr>
        <w:t> </w:t>
      </w:r>
      <w:r>
        <w:rPr>
          <w:color w:val="6E6158"/>
        </w:rPr>
        <w:t>States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New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York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people/professionals/kendra-g-glazer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kglazer@fennemorelaw.com" TargetMode="External"/><Relationship Id="rId11" Type="http://schemas.openxmlformats.org/officeDocument/2006/relationships/hyperlink" Target="https://www.fennemorelaw.com/there-is-not-one-path-to-success-at-fennemore-each-individual-is-valued-and-appreciated-for-their-unique-perspective-and-contribution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2025-01-02T06:29:03Z</dcterms:created>
  <dcterms:modified xsi:type="dcterms:W3CDTF">2025-01-02T06:29:03Z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