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901440"/>
                <wp:effectExtent l="0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901440"/>
                          <a:chExt cx="6066790" cy="39014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63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6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632835">
                                <a:moveTo>
                                  <a:pt x="3033212" y="3632620"/>
                                </a:moveTo>
                                <a:lnTo>
                                  <a:pt x="0" y="36326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632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632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295" w:right="0" w:firstLine="259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KEVIN 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RODRIGUEZ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Santa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Barbara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805.420.6010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805.420.6001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6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krodriguez@fennemorelaw.com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7.2pt;mso-position-horizontal-relative:char;mso-position-vertical-relative:line" id="docshapegroup1" coordorigin="0,0" coordsize="9554,614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5721" type="#_x0000_t75" id="docshape3" stroked="false">
                  <v:imagedata r:id="rId7" o:title=""/>
                </v:shape>
                <v:rect style="position:absolute;left:4776;top:423;width:4777;height:5721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72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295" w:right="0" w:firstLine="259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KEVIN 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RODRIGUEZ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z w:val="16"/>
                            </w:rPr>
                            <w:t>Santa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Barbara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805.420.6010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805.420.6001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6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krodriguez@fennemorelaw.com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7"/>
      </w:pPr>
      <w:r>
        <w:rPr>
          <w:color w:val="FF8100"/>
        </w:rPr>
        <w:t>KEVIN</w:t>
      </w:r>
      <w:r>
        <w:rPr>
          <w:color w:val="FF8100"/>
          <w:spacing w:val="5"/>
        </w:rPr>
        <w:t> </w:t>
      </w:r>
      <w:r>
        <w:rPr>
          <w:color w:val="FF8100"/>
        </w:rPr>
        <w:t>M.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RODRIGUEZ</w:t>
      </w:r>
    </w:p>
    <w:p>
      <w:pPr>
        <w:pStyle w:val="BodyText"/>
        <w:spacing w:line="292" w:lineRule="auto"/>
        <w:ind w:left="104" w:right="623"/>
      </w:pPr>
      <w:r>
        <w:rPr>
          <w:color w:val="6E6158"/>
        </w:rPr>
        <w:t>Kevin has over 15 years of experience representing fiduciaries, beneficiaries and nonprofit</w:t>
      </w:r>
      <w:r>
        <w:rPr>
          <w:color w:val="6E6158"/>
          <w:spacing w:val="40"/>
        </w:rPr>
        <w:t> </w:t>
      </w:r>
      <w:r>
        <w:rPr>
          <w:color w:val="6E6158"/>
        </w:rPr>
        <w:t>organizations in contested trust, estate, conservatorship, and elder abuse matters. He </w:t>
      </w:r>
      <w:r>
        <w:rPr>
          <w:color w:val="6E6158"/>
        </w:rPr>
        <w:t>represents</w:t>
      </w:r>
      <w:r>
        <w:rPr>
          <w:color w:val="6E6158"/>
          <w:spacing w:val="40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clients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phases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litigation,</w:t>
      </w:r>
      <w:r>
        <w:rPr>
          <w:color w:val="6E6158"/>
          <w:spacing w:val="27"/>
        </w:rPr>
        <w:t> </w:t>
      </w:r>
      <w:r>
        <w:rPr>
          <w:color w:val="6E6158"/>
        </w:rPr>
        <w:t>from</w:t>
      </w:r>
      <w:r>
        <w:rPr>
          <w:color w:val="6E6158"/>
          <w:spacing w:val="27"/>
        </w:rPr>
        <w:t> </w:t>
      </w:r>
      <w:r>
        <w:rPr>
          <w:color w:val="6E6158"/>
        </w:rPr>
        <w:t>pre-litigation</w:t>
      </w:r>
      <w:r>
        <w:rPr>
          <w:color w:val="6E6158"/>
          <w:spacing w:val="27"/>
        </w:rPr>
        <w:t> </w:t>
      </w:r>
      <w:r>
        <w:rPr>
          <w:color w:val="6E6158"/>
        </w:rPr>
        <w:t>avoidance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mediation,</w:t>
      </w:r>
      <w:r>
        <w:rPr>
          <w:color w:val="6E6158"/>
          <w:spacing w:val="27"/>
        </w:rPr>
        <w:t> </w:t>
      </w:r>
      <w:r>
        <w:rPr>
          <w:color w:val="6E6158"/>
        </w:rPr>
        <w:t>trial</w:t>
      </w:r>
      <w:r>
        <w:rPr>
          <w:color w:val="6E6158"/>
          <w:spacing w:val="27"/>
        </w:rPr>
        <w:t> </w:t>
      </w:r>
      <w:r>
        <w:rPr>
          <w:color w:val="6E6158"/>
        </w:rPr>
        <w:t>and,</w:t>
      </w:r>
      <w:r>
        <w:rPr>
          <w:color w:val="6E6158"/>
          <w:spacing w:val="27"/>
        </w:rPr>
        <w:t> </w:t>
      </w:r>
      <w:r>
        <w:rPr>
          <w:color w:val="6E6158"/>
        </w:rPr>
        <w:t>if</w:t>
      </w:r>
    </w:p>
    <w:p>
      <w:pPr>
        <w:pStyle w:val="BodyText"/>
        <w:spacing w:before="10"/>
        <w:ind w:left="104"/>
      </w:pPr>
      <w:r>
        <w:rPr>
          <w:color w:val="6E6158"/>
        </w:rPr>
        <w:t>necessary,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appeal.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 w:before="0"/>
        <w:ind w:left="104" w:right="623"/>
      </w:pPr>
      <w:r>
        <w:rPr>
          <w:color w:val="6E6158"/>
        </w:rPr>
        <w:t>While Kevin now focuses his practice exclusively on litigation matters, he also has an LL.M. in</w:t>
      </w:r>
      <w:r>
        <w:rPr>
          <w:color w:val="6E6158"/>
          <w:spacing w:val="40"/>
        </w:rPr>
        <w:t> </w:t>
      </w:r>
      <w:r>
        <w:rPr>
          <w:color w:val="6E6158"/>
        </w:rPr>
        <w:t>taxation and has an extensive background in estate planning, trust and probate </w:t>
      </w:r>
      <w:r>
        <w:rPr>
          <w:color w:val="6E6158"/>
        </w:rPr>
        <w:t>administration,</w:t>
      </w:r>
      <w:r>
        <w:rPr>
          <w:color w:val="6E6158"/>
          <w:spacing w:val="40"/>
        </w:rPr>
        <w:t> </w:t>
      </w:r>
      <w:r>
        <w:rPr>
          <w:color w:val="6E6158"/>
        </w:rPr>
        <w:t>and estate and gift taxation.</w:t>
      </w:r>
    </w:p>
    <w:p>
      <w:pPr>
        <w:pStyle w:val="BodyText"/>
        <w:spacing w:line="420" w:lineRule="auto" w:before="10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65752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7354pt;width:1.65pt;height:1.65pt;mso-position-horizontal-relative:page;mso-position-vertical-relative:paragraph;z-index:15729152" id="docshape7" coordorigin="1675,104" coordsize="33,33" path="m1696,136l1687,136,1683,135,1676,128,1675,124,1675,115,1676,111,1683,105,1687,104,1696,104,1699,105,1706,111,1707,115,1707,120,1707,124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324118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1103pt;width:1.65pt;height:1.65pt;mso-position-horizontal-relative:page;mso-position-vertical-relative:paragraph;z-index:15729664" id="docshape8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/>
        <w:ind w:right="40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152955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743pt;width:1.65pt;height:1.65pt;mso-position-horizontal-relative:page;mso-position-vertical-relative:paragraph;z-index:15730176" id="docshape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416488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4369pt;width:1.65pt;height:1.65pt;mso-position-horizontal-relative:page;mso-position-vertical-relative:paragraph;z-index:15730688" id="docshape1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 Taxation, Golden Gate University School of </w:t>
      </w:r>
      <w:r>
        <w:rPr>
          <w:color w:val="6E6158"/>
        </w:rPr>
        <w:t>Law J.D., Santa Clara University School of Law</w:t>
      </w:r>
    </w:p>
    <w:p>
      <w:pPr>
        <w:pStyle w:val="BodyText"/>
        <w:spacing w:line="226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54893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2287pt;width:1.65pt;height:1.65pt;mso-position-horizontal-relative:page;mso-position-vertical-relative:paragraph;z-index:15731200" id="docshape11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B.S.C.,</w:t>
      </w:r>
      <w:r>
        <w:rPr>
          <w:color w:val="6E6158"/>
          <w:spacing w:val="11"/>
        </w:rPr>
        <w:t> </w:t>
      </w:r>
      <w:r>
        <w:rPr>
          <w:color w:val="6E6158"/>
        </w:rPr>
        <w:t>Santa</w:t>
      </w:r>
      <w:r>
        <w:rPr>
          <w:color w:val="6E6158"/>
          <w:spacing w:val="12"/>
        </w:rPr>
        <w:t> </w:t>
      </w:r>
      <w:r>
        <w:rPr>
          <w:color w:val="6E6158"/>
        </w:rPr>
        <w:t>Clara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/>
        <w:ind w:right="7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152688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753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416221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376pt;width:1.65pt;height:1.65pt;mso-position-horizontal-relative:page;mso-position-vertical-relative:paragraph;z-index:15732224" id="docshape1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152363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154pt;width:1.65pt;height:1.65pt;mso-position-horizontal-relative:page;mso-position-vertical-relative:paragraph;z-index:15732736" id="docshape14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Litigation –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Trusts 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Estates, 2023-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6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“Show Me The Money: When Can Trustees Use Trust Funds to Litigate,” Contra Costa Lawyers Magazine, October 2017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3760" id="docshape1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Balancing Act: The Appropriate Role of Court Appointed Counsel in Proposed Conservatorships,” California Trusts &amp; Estates Quarterly, Volume 19, Issue 1, 2013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/>
        <w:ind w:right="28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152829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814pt;width:1.65pt;height:1.65pt;mso-position-horizontal-relative:page;mso-position-vertical-relative:paragraph;z-index:15734272" id="docshape1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411195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7563pt;width:1.65pt;height:1.65pt;mso-position-horizontal-relative:page;mso-position-vertical-relative:paragraph;z-index:15734784" id="docshape18" coordorigin="1675,648" coordsize="33,33" path="m1696,680l1687,680,1683,679,1676,672,1675,668,1675,659,1676,655,1683,649,1687,648,1696,648,1699,649,1706,655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Conservation Society of California – Oakland </w:t>
      </w:r>
      <w:r>
        <w:rPr>
          <w:color w:val="6E6158"/>
        </w:rPr>
        <w:t>Zoo Board Member, Legal Assistance for Seniors</w:t>
      </w:r>
    </w:p>
    <w:p>
      <w:pPr>
        <w:pStyle w:val="BodyText"/>
        <w:spacing w:line="420" w:lineRule="auto" w:before="6"/>
        <w:ind w:right="46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63642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122pt;width:1.65pt;height:1.65pt;mso-position-horizontal-relative:page;mso-position-vertical-relative:paragraph;z-index:15735296" id="docshape1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322008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4969pt;width:1.65pt;height:1.65pt;mso-position-horizontal-relative:page;mso-position-vertical-relative:paragraph;z-index:15735808" id="docshape20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580373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98719pt;width:1.65pt;height:1.65pt;mso-position-horizontal-relative:page;mso-position-vertical-relative:paragraph;z-index:15736320" id="docshape21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East Bay Estate Planning Council Member, Alameda County Bar </w:t>
      </w:r>
      <w:r>
        <w:rPr>
          <w:color w:val="6E6158"/>
        </w:rPr>
        <w:t>Association Member, Bar Association of San Francisco</w:t>
      </w:r>
    </w:p>
    <w:p>
      <w:pPr>
        <w:pStyle w:val="BodyText"/>
        <w:spacing w:line="302" w:lineRule="auto" w:before="0"/>
        <w:ind w:right="6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58318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2016pt;width:1.65pt;height:1.65pt;mso-position-horizontal-relative:page;mso-position-vertical-relative:paragraph;z-index:15736832" id="docshape22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 Member, Litigation Subcommittee, Trusts and Estates Section of the </w:t>
      </w:r>
      <w:r>
        <w:rPr>
          <w:color w:val="6E6158"/>
        </w:rPr>
        <w:t>California Lawyers Association</w:t>
      </w:r>
    </w:p>
    <w:p>
      <w:pPr>
        <w:pStyle w:val="Heading1"/>
        <w:spacing w:before="272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152741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906pt;width:1.65pt;height:1.65pt;mso-position-horizontal-relative:page;mso-position-vertical-relative:paragraph;z-index:15737344" id="docshape23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https://www.fennemorelaw.com/contact-us/santa-barbara/" TargetMode="External"/><Relationship Id="rId11" Type="http://schemas.openxmlformats.org/officeDocument/2006/relationships/hyperlink" Target="mailto:krodriguez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2025-01-02T06:33:36Z</dcterms:created>
  <dcterms:modified xsi:type="dcterms:W3CDTF">2025-01-02T06:33:36Z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